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9" w:rsidRDefault="00FE29B4">
      <w:pPr>
        <w:pStyle w:val="BodyText"/>
        <w:ind w:left="8078"/>
        <w:rPr>
          <w:rFonts w:ascii="Times New Roman"/>
          <w:sz w:val="20"/>
        </w:rPr>
      </w:pPr>
      <w:r>
        <w:rPr>
          <w:rFonts w:ascii="Times New Roman"/>
          <w:noProof/>
          <w:sz w:val="20"/>
          <w:lang w:bidi="ar-SA"/>
        </w:rPr>
        <w:drawing>
          <wp:inline distT="0" distB="0" distL="0" distR="0">
            <wp:extent cx="742239" cy="466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42239" cy="466344"/>
                    </a:xfrm>
                    <a:prstGeom prst="rect">
                      <a:avLst/>
                    </a:prstGeom>
                  </pic:spPr>
                </pic:pic>
              </a:graphicData>
            </a:graphic>
          </wp:inline>
        </w:drawing>
      </w:r>
    </w:p>
    <w:p w:rsidR="008C4F69" w:rsidRDefault="008C4F69">
      <w:pPr>
        <w:pStyle w:val="BodyText"/>
        <w:spacing w:before="4"/>
        <w:rPr>
          <w:rFonts w:ascii="Times New Roman"/>
          <w:sz w:val="18"/>
        </w:rPr>
      </w:pPr>
    </w:p>
    <w:p w:rsidR="008C4F69" w:rsidRDefault="00FE29B4">
      <w:pPr>
        <w:spacing w:before="92"/>
        <w:ind w:left="314" w:right="332"/>
        <w:jc w:val="center"/>
        <w:rPr>
          <w:b/>
          <w:sz w:val="24"/>
        </w:rPr>
      </w:pPr>
      <w:r>
        <w:rPr>
          <w:b/>
          <w:sz w:val="24"/>
        </w:rPr>
        <w:t>East Surrey CCG, Guildford &amp; Waverley CCG, North West Surrey CCG, Surrey Downs CCG, Surrey Heath CCG, Crawley CCG, Horsham &amp; Mid-Sussex CCG</w:t>
      </w:r>
    </w:p>
    <w:p w:rsidR="008C4F69" w:rsidRDefault="008C4F69">
      <w:pPr>
        <w:pStyle w:val="BodyText"/>
        <w:spacing w:before="9"/>
        <w:rPr>
          <w:b/>
          <w:sz w:val="26"/>
        </w:rPr>
      </w:pPr>
    </w:p>
    <w:p w:rsidR="008C4F69" w:rsidRDefault="00FE29B4">
      <w:pPr>
        <w:spacing w:line="276" w:lineRule="auto"/>
        <w:ind w:left="311" w:right="332"/>
        <w:jc w:val="center"/>
        <w:rPr>
          <w:b/>
          <w:sz w:val="28"/>
        </w:rPr>
      </w:pPr>
      <w:r>
        <w:rPr>
          <w:b/>
          <w:sz w:val="28"/>
        </w:rPr>
        <w:t>Briefing Paper for Prescribing Clinical Network on NICE Technology Appraisals: Local implementation</w:t>
      </w:r>
    </w:p>
    <w:p w:rsidR="008C4F69" w:rsidRDefault="008C4F69">
      <w:pPr>
        <w:pStyle w:val="BodyText"/>
        <w:spacing w:before="8" w:after="1"/>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288"/>
        <w:gridCol w:w="2290"/>
        <w:gridCol w:w="2290"/>
      </w:tblGrid>
      <w:tr w:rsidR="008C4F69">
        <w:trPr>
          <w:trHeight w:val="505"/>
        </w:trPr>
        <w:tc>
          <w:tcPr>
            <w:tcW w:w="2376" w:type="dxa"/>
            <w:tcBorders>
              <w:left w:val="single" w:sz="6" w:space="0" w:color="000000"/>
            </w:tcBorders>
            <w:shd w:val="clear" w:color="auto" w:fill="F1F1F1"/>
          </w:tcPr>
          <w:p w:rsidR="008C4F69" w:rsidRDefault="00FE29B4">
            <w:pPr>
              <w:pStyle w:val="TableParagraph"/>
              <w:spacing w:before="122"/>
              <w:rPr>
                <w:b/>
              </w:rPr>
            </w:pPr>
            <w:r>
              <w:rPr>
                <w:b/>
              </w:rPr>
              <w:t>NICE TA Guidance</w:t>
            </w:r>
          </w:p>
        </w:tc>
        <w:tc>
          <w:tcPr>
            <w:tcW w:w="6868" w:type="dxa"/>
            <w:gridSpan w:val="3"/>
          </w:tcPr>
          <w:p w:rsidR="008C4F69" w:rsidRDefault="007B170D">
            <w:pPr>
              <w:pStyle w:val="TableParagraph"/>
              <w:spacing w:line="236" w:lineRule="exact"/>
              <w:ind w:left="108"/>
            </w:pPr>
            <w:proofErr w:type="spellStart"/>
            <w:r>
              <w:t>Ixekizumab</w:t>
            </w:r>
            <w:proofErr w:type="spellEnd"/>
            <w:r>
              <w:t xml:space="preserve"> for treating active psoriatic arthritis after inadequate response to DMARDs</w:t>
            </w:r>
          </w:p>
        </w:tc>
      </w:tr>
      <w:tr w:rsidR="008C4F69">
        <w:trPr>
          <w:trHeight w:val="453"/>
        </w:trPr>
        <w:tc>
          <w:tcPr>
            <w:tcW w:w="2376" w:type="dxa"/>
            <w:tcBorders>
              <w:left w:val="single" w:sz="6" w:space="0" w:color="000000"/>
            </w:tcBorders>
            <w:shd w:val="clear" w:color="auto" w:fill="F1F1F1"/>
          </w:tcPr>
          <w:p w:rsidR="008C4F69" w:rsidRDefault="00FE29B4">
            <w:pPr>
              <w:pStyle w:val="TableParagraph"/>
              <w:spacing w:before="96"/>
              <w:rPr>
                <w:b/>
              </w:rPr>
            </w:pPr>
            <w:r>
              <w:rPr>
                <w:b/>
              </w:rPr>
              <w:t>Available at</w:t>
            </w:r>
          </w:p>
        </w:tc>
        <w:tc>
          <w:tcPr>
            <w:tcW w:w="6868" w:type="dxa"/>
            <w:gridSpan w:val="3"/>
          </w:tcPr>
          <w:p w:rsidR="008C4F69" w:rsidRDefault="007B170D">
            <w:pPr>
              <w:pStyle w:val="TableParagraph"/>
              <w:spacing w:line="250" w:lineRule="exact"/>
              <w:ind w:left="108"/>
            </w:pPr>
            <w:r w:rsidRPr="007B170D">
              <w:rPr>
                <w:color w:val="1F487C"/>
              </w:rPr>
              <w:t>https://www.nice.org.uk/guidance/ta537</w:t>
            </w:r>
          </w:p>
        </w:tc>
      </w:tr>
      <w:tr w:rsidR="008C4F69">
        <w:trPr>
          <w:trHeight w:val="505"/>
        </w:trPr>
        <w:tc>
          <w:tcPr>
            <w:tcW w:w="2376" w:type="dxa"/>
            <w:tcBorders>
              <w:left w:val="single" w:sz="6" w:space="0" w:color="000000"/>
            </w:tcBorders>
            <w:shd w:val="clear" w:color="auto" w:fill="F1F1F1"/>
          </w:tcPr>
          <w:p w:rsidR="008C4F69" w:rsidRDefault="00FE29B4">
            <w:pPr>
              <w:pStyle w:val="TableParagraph"/>
              <w:spacing w:before="122"/>
              <w:rPr>
                <w:b/>
              </w:rPr>
            </w:pPr>
            <w:r>
              <w:rPr>
                <w:b/>
              </w:rPr>
              <w:t>Date of issue</w:t>
            </w:r>
          </w:p>
        </w:tc>
        <w:tc>
          <w:tcPr>
            <w:tcW w:w="2288" w:type="dxa"/>
          </w:tcPr>
          <w:p w:rsidR="008C4F69" w:rsidRDefault="007B170D">
            <w:pPr>
              <w:pStyle w:val="TableParagraph"/>
              <w:spacing w:line="250" w:lineRule="exact"/>
              <w:ind w:left="108"/>
            </w:pPr>
            <w:r>
              <w:rPr>
                <w:color w:val="1F487C"/>
              </w:rPr>
              <w:t>Aug 2018</w:t>
            </w:r>
          </w:p>
        </w:tc>
        <w:tc>
          <w:tcPr>
            <w:tcW w:w="2290" w:type="dxa"/>
            <w:shd w:val="clear" w:color="auto" w:fill="F1F1F1"/>
          </w:tcPr>
          <w:p w:rsidR="008C4F69" w:rsidRDefault="00FE29B4">
            <w:pPr>
              <w:pStyle w:val="TableParagraph"/>
              <w:spacing w:line="248" w:lineRule="exact"/>
              <w:ind w:left="108"/>
              <w:rPr>
                <w:b/>
              </w:rPr>
            </w:pPr>
            <w:r>
              <w:rPr>
                <w:b/>
              </w:rPr>
              <w:t>Implementation</w:t>
            </w:r>
          </w:p>
          <w:p w:rsidR="008C4F69" w:rsidRDefault="00FE29B4">
            <w:pPr>
              <w:pStyle w:val="TableParagraph"/>
              <w:spacing w:before="1" w:line="237" w:lineRule="exact"/>
              <w:ind w:left="108"/>
              <w:rPr>
                <w:b/>
              </w:rPr>
            </w:pPr>
            <w:r>
              <w:rPr>
                <w:b/>
              </w:rPr>
              <w:t>deadline</w:t>
            </w:r>
          </w:p>
        </w:tc>
        <w:tc>
          <w:tcPr>
            <w:tcW w:w="2290" w:type="dxa"/>
          </w:tcPr>
          <w:p w:rsidR="008C4F69" w:rsidRDefault="00FE29B4">
            <w:pPr>
              <w:pStyle w:val="TableParagraph"/>
              <w:spacing w:line="254" w:lineRule="exact"/>
              <w:ind w:left="108" w:right="745"/>
            </w:pPr>
            <w:r>
              <w:rPr>
                <w:color w:val="1F487C"/>
              </w:rPr>
              <w:t>3 months from publication</w:t>
            </w:r>
          </w:p>
        </w:tc>
      </w:tr>
    </w:tbl>
    <w:p w:rsidR="008C4F69" w:rsidRDefault="008C4F69">
      <w:pPr>
        <w:pStyle w:val="BodyText"/>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874"/>
      </w:tblGrid>
      <w:tr w:rsidR="008C4F69" w:rsidTr="007B170D">
        <w:trPr>
          <w:trHeight w:val="340"/>
        </w:trPr>
        <w:tc>
          <w:tcPr>
            <w:tcW w:w="9250" w:type="dxa"/>
            <w:gridSpan w:val="2"/>
            <w:tcBorders>
              <w:left w:val="single" w:sz="6" w:space="0" w:color="000000"/>
            </w:tcBorders>
            <w:shd w:val="clear" w:color="auto" w:fill="F1F1F1"/>
          </w:tcPr>
          <w:p w:rsidR="008C4F69" w:rsidRDefault="00FE29B4">
            <w:pPr>
              <w:pStyle w:val="TableParagraph"/>
              <w:spacing w:before="6" w:line="314" w:lineRule="exact"/>
              <w:ind w:left="3518" w:right="3510"/>
              <w:jc w:val="center"/>
              <w:rPr>
                <w:b/>
                <w:sz w:val="28"/>
              </w:rPr>
            </w:pPr>
            <w:r>
              <w:rPr>
                <w:b/>
                <w:sz w:val="28"/>
              </w:rPr>
              <w:t>Medicine details</w:t>
            </w:r>
          </w:p>
        </w:tc>
      </w:tr>
      <w:tr w:rsidR="008C4F69" w:rsidTr="007B170D">
        <w:trPr>
          <w:trHeight w:val="253"/>
        </w:trPr>
        <w:tc>
          <w:tcPr>
            <w:tcW w:w="2376" w:type="dxa"/>
            <w:tcBorders>
              <w:left w:val="single" w:sz="6" w:space="0" w:color="000000"/>
            </w:tcBorders>
            <w:shd w:val="clear" w:color="auto" w:fill="F1F1F1"/>
          </w:tcPr>
          <w:p w:rsidR="008C4F69" w:rsidRDefault="00FE29B4">
            <w:pPr>
              <w:pStyle w:val="TableParagraph"/>
              <w:spacing w:line="234" w:lineRule="exact"/>
              <w:rPr>
                <w:b/>
              </w:rPr>
            </w:pPr>
            <w:r>
              <w:rPr>
                <w:b/>
              </w:rPr>
              <w:t>Name, brand name</w:t>
            </w:r>
          </w:p>
        </w:tc>
        <w:tc>
          <w:tcPr>
            <w:tcW w:w="6874" w:type="dxa"/>
          </w:tcPr>
          <w:p w:rsidR="008C4F69" w:rsidRDefault="007B170D">
            <w:pPr>
              <w:pStyle w:val="TableParagraph"/>
              <w:spacing w:line="234" w:lineRule="exact"/>
              <w:ind w:left="108"/>
            </w:pPr>
            <w:bookmarkStart w:id="0" w:name="_GoBack"/>
            <w:proofErr w:type="spellStart"/>
            <w:r>
              <w:t>Ixekizumab</w:t>
            </w:r>
            <w:bookmarkEnd w:id="0"/>
            <w:proofErr w:type="spellEnd"/>
          </w:p>
        </w:tc>
      </w:tr>
      <w:tr w:rsidR="008C4F69" w:rsidTr="007B170D">
        <w:trPr>
          <w:trHeight w:val="254"/>
        </w:trPr>
        <w:tc>
          <w:tcPr>
            <w:tcW w:w="2376" w:type="dxa"/>
            <w:tcBorders>
              <w:left w:val="single" w:sz="6" w:space="0" w:color="000000"/>
            </w:tcBorders>
            <w:shd w:val="clear" w:color="auto" w:fill="F1F1F1"/>
          </w:tcPr>
          <w:p w:rsidR="008C4F69" w:rsidRDefault="00FE29B4">
            <w:pPr>
              <w:pStyle w:val="TableParagraph"/>
              <w:spacing w:line="234" w:lineRule="exact"/>
              <w:rPr>
                <w:b/>
              </w:rPr>
            </w:pPr>
            <w:r>
              <w:rPr>
                <w:b/>
              </w:rPr>
              <w:t>Manufacturer</w:t>
            </w:r>
          </w:p>
        </w:tc>
        <w:tc>
          <w:tcPr>
            <w:tcW w:w="6874" w:type="dxa"/>
          </w:tcPr>
          <w:p w:rsidR="008C4F69" w:rsidRDefault="007B170D">
            <w:pPr>
              <w:pStyle w:val="TableParagraph"/>
              <w:spacing w:line="234" w:lineRule="exact"/>
              <w:ind w:left="108"/>
            </w:pPr>
            <w:r>
              <w:rPr>
                <w:rFonts w:ascii="Lato" w:hAnsi="Lato"/>
                <w:color w:val="0E0E0E"/>
              </w:rPr>
              <w:t>Eli Lilly</w:t>
            </w:r>
          </w:p>
        </w:tc>
      </w:tr>
      <w:tr w:rsidR="008C4F69" w:rsidTr="007B170D">
        <w:trPr>
          <w:trHeight w:val="254"/>
        </w:trPr>
        <w:tc>
          <w:tcPr>
            <w:tcW w:w="2376" w:type="dxa"/>
            <w:tcBorders>
              <w:left w:val="single" w:sz="6" w:space="0" w:color="000000"/>
            </w:tcBorders>
            <w:shd w:val="clear" w:color="auto" w:fill="F1F1F1"/>
          </w:tcPr>
          <w:p w:rsidR="008C4F69" w:rsidRDefault="00FE29B4">
            <w:pPr>
              <w:pStyle w:val="TableParagraph"/>
              <w:spacing w:line="234" w:lineRule="exact"/>
              <w:rPr>
                <w:b/>
              </w:rPr>
            </w:pPr>
            <w:r>
              <w:rPr>
                <w:b/>
              </w:rPr>
              <w:t>Licensed indication</w:t>
            </w:r>
          </w:p>
        </w:tc>
        <w:tc>
          <w:tcPr>
            <w:tcW w:w="6874" w:type="dxa"/>
          </w:tcPr>
          <w:p w:rsidR="008C4F69" w:rsidRDefault="007B170D">
            <w:pPr>
              <w:pStyle w:val="TableParagraph"/>
              <w:spacing w:line="234" w:lineRule="exact"/>
              <w:ind w:left="108"/>
            </w:pPr>
            <w:proofErr w:type="spellStart"/>
            <w:r>
              <w:rPr>
                <w:rFonts w:ascii="Lato" w:hAnsi="Lato"/>
                <w:color w:val="0E0E0E"/>
              </w:rPr>
              <w:t>Ixekizumab</w:t>
            </w:r>
            <w:proofErr w:type="spellEnd"/>
            <w:r>
              <w:rPr>
                <w:rFonts w:ascii="Lato" w:hAnsi="Lato"/>
                <w:color w:val="0E0E0E"/>
              </w:rPr>
              <w:t xml:space="preserve"> (</w:t>
            </w:r>
            <w:proofErr w:type="spellStart"/>
            <w:r>
              <w:rPr>
                <w:rFonts w:ascii="Lato" w:hAnsi="Lato"/>
                <w:color w:val="0E0E0E"/>
              </w:rPr>
              <w:t>Taltz</w:t>
            </w:r>
            <w:proofErr w:type="spellEnd"/>
            <w:r>
              <w:rPr>
                <w:rFonts w:ascii="Lato" w:hAnsi="Lato"/>
                <w:color w:val="0E0E0E"/>
              </w:rPr>
              <w:t>, Eli Lilly) has a marketing authorisation, alone or in combination with methotrexate, 'for the treatment of active psoriatic arthritis in adult patients who have responded inadequately to, or who are intolerant to one or more disease-modifying anti-rheumatic drug (DMARD) therapies'.</w:t>
            </w:r>
          </w:p>
        </w:tc>
      </w:tr>
      <w:tr w:rsidR="008C4F69" w:rsidTr="007B170D">
        <w:trPr>
          <w:trHeight w:val="253"/>
        </w:trPr>
        <w:tc>
          <w:tcPr>
            <w:tcW w:w="2376" w:type="dxa"/>
            <w:tcBorders>
              <w:left w:val="single" w:sz="6" w:space="0" w:color="000000"/>
            </w:tcBorders>
            <w:shd w:val="clear" w:color="auto" w:fill="F1F1F1"/>
          </w:tcPr>
          <w:p w:rsidR="008C4F69" w:rsidRDefault="00FE29B4">
            <w:pPr>
              <w:pStyle w:val="TableParagraph"/>
              <w:spacing w:line="234" w:lineRule="exact"/>
              <w:rPr>
                <w:b/>
              </w:rPr>
            </w:pPr>
            <w:r>
              <w:rPr>
                <w:b/>
              </w:rPr>
              <w:t>Usual dosage</w:t>
            </w:r>
          </w:p>
        </w:tc>
        <w:tc>
          <w:tcPr>
            <w:tcW w:w="6874" w:type="dxa"/>
          </w:tcPr>
          <w:p w:rsidR="008C4F69" w:rsidRDefault="007B170D">
            <w:pPr>
              <w:pStyle w:val="TableParagraph"/>
              <w:spacing w:line="234" w:lineRule="exact"/>
              <w:ind w:left="108"/>
            </w:pPr>
            <w:r>
              <w:rPr>
                <w:rFonts w:ascii="Lato" w:hAnsi="Lato"/>
                <w:color w:val="0E0E0E"/>
              </w:rPr>
              <w:t>160 mg by subcutaneous injection (2×80 mg injections) at week 0, followed by 80 mg (1 injection) every 4 weeks thereafter.</w:t>
            </w:r>
          </w:p>
        </w:tc>
      </w:tr>
    </w:tbl>
    <w:p w:rsidR="008C4F69" w:rsidRDefault="008C4F69">
      <w:pPr>
        <w:pStyle w:val="BodyText"/>
        <w:spacing w:before="1"/>
        <w:rPr>
          <w:b/>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868"/>
      </w:tblGrid>
      <w:tr w:rsidR="008C4F69">
        <w:trPr>
          <w:trHeight w:val="340"/>
        </w:trPr>
        <w:tc>
          <w:tcPr>
            <w:tcW w:w="9244" w:type="dxa"/>
            <w:gridSpan w:val="2"/>
            <w:tcBorders>
              <w:left w:val="single" w:sz="6" w:space="0" w:color="000000"/>
            </w:tcBorders>
            <w:shd w:val="clear" w:color="auto" w:fill="F1F1F1"/>
          </w:tcPr>
          <w:p w:rsidR="008C4F69" w:rsidRDefault="00FE29B4">
            <w:pPr>
              <w:pStyle w:val="TableParagraph"/>
              <w:spacing w:before="6" w:line="314" w:lineRule="exact"/>
              <w:ind w:left="2244"/>
              <w:rPr>
                <w:b/>
                <w:sz w:val="28"/>
              </w:rPr>
            </w:pPr>
            <w:r>
              <w:rPr>
                <w:b/>
                <w:sz w:val="28"/>
              </w:rPr>
              <w:t>Disease and potential patient group</w:t>
            </w:r>
          </w:p>
        </w:tc>
      </w:tr>
      <w:tr w:rsidR="008C4F69">
        <w:trPr>
          <w:trHeight w:val="757"/>
        </w:trPr>
        <w:tc>
          <w:tcPr>
            <w:tcW w:w="2376" w:type="dxa"/>
            <w:tcBorders>
              <w:left w:val="single" w:sz="6" w:space="0" w:color="000000"/>
            </w:tcBorders>
            <w:shd w:val="clear" w:color="auto" w:fill="F1F1F1"/>
          </w:tcPr>
          <w:p w:rsidR="008C4F69" w:rsidRDefault="00FE29B4">
            <w:pPr>
              <w:pStyle w:val="TableParagraph"/>
              <w:ind w:right="221"/>
              <w:rPr>
                <w:b/>
              </w:rPr>
            </w:pPr>
            <w:r>
              <w:rPr>
                <w:b/>
              </w:rPr>
              <w:t>Brief description of disease</w:t>
            </w:r>
          </w:p>
        </w:tc>
        <w:tc>
          <w:tcPr>
            <w:tcW w:w="6868" w:type="dxa"/>
          </w:tcPr>
          <w:p w:rsidR="008C4F69" w:rsidRDefault="007B170D" w:rsidP="007B170D">
            <w:pPr>
              <w:pStyle w:val="TableParagraph"/>
              <w:spacing w:line="234" w:lineRule="exact"/>
              <w:ind w:left="108"/>
            </w:pPr>
            <w:r>
              <w:rPr>
                <w:rFonts w:ascii="Lato" w:hAnsi="Lato"/>
                <w:color w:val="0E0E0E"/>
              </w:rPr>
              <w:t>P</w:t>
            </w:r>
            <w:r>
              <w:rPr>
                <w:rFonts w:ascii="Lato" w:hAnsi="Lato"/>
                <w:color w:val="0E0E0E"/>
              </w:rPr>
              <w:t xml:space="preserve">soriatic arthritis can affect people at a young age (peak onset is 30 to 50 years old) and is a lifelong condition. Symptoms including joint stiffness, fatigue and pain can make day-to-day activities difficult and have a serious negative effect on people's quality of life. Most people develop joint symptoms a few years after skin psoriasis and adding a painful joint disease to the skin symptoms can have a substantial psychological impact. </w:t>
            </w:r>
          </w:p>
        </w:tc>
      </w:tr>
    </w:tbl>
    <w:p w:rsidR="008C4F69" w:rsidRDefault="008C4F69">
      <w:pPr>
        <w:pStyle w:val="BodyText"/>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8C4F69">
        <w:trPr>
          <w:trHeight w:val="361"/>
        </w:trPr>
        <w:tc>
          <w:tcPr>
            <w:tcW w:w="9254" w:type="dxa"/>
          </w:tcPr>
          <w:p w:rsidR="008C4F69" w:rsidRDefault="00FE29B4">
            <w:pPr>
              <w:pStyle w:val="TableParagraph"/>
              <w:spacing w:before="18"/>
              <w:ind w:left="3881" w:right="3875"/>
              <w:jc w:val="center"/>
              <w:rPr>
                <w:b/>
                <w:sz w:val="28"/>
              </w:rPr>
            </w:pPr>
            <w:r>
              <w:rPr>
                <w:b/>
                <w:sz w:val="28"/>
              </w:rPr>
              <w:t>SUMMARY</w:t>
            </w:r>
          </w:p>
        </w:tc>
      </w:tr>
    </w:tbl>
    <w:p w:rsidR="008C4F69" w:rsidRDefault="008C4F69">
      <w:pPr>
        <w:pStyle w:val="BodyText"/>
        <w:spacing w:before="1"/>
        <w:rPr>
          <w:b/>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8C4F69">
        <w:trPr>
          <w:trHeight w:val="340"/>
        </w:trPr>
        <w:tc>
          <w:tcPr>
            <w:tcW w:w="9244" w:type="dxa"/>
            <w:tcBorders>
              <w:left w:val="single" w:sz="6" w:space="0" w:color="000000"/>
            </w:tcBorders>
            <w:shd w:val="clear" w:color="auto" w:fill="F1F1F1"/>
          </w:tcPr>
          <w:p w:rsidR="008C4F69" w:rsidRDefault="00FE29B4">
            <w:pPr>
              <w:pStyle w:val="TableParagraph"/>
              <w:spacing w:before="38"/>
              <w:rPr>
                <w:b/>
              </w:rPr>
            </w:pPr>
            <w:r>
              <w:rPr>
                <w:b/>
              </w:rPr>
              <w:t>NICE recommendation</w:t>
            </w:r>
          </w:p>
        </w:tc>
      </w:tr>
      <w:tr w:rsidR="008C4F69">
        <w:trPr>
          <w:trHeight w:val="520"/>
        </w:trPr>
        <w:tc>
          <w:tcPr>
            <w:tcW w:w="9244" w:type="dxa"/>
            <w:tcBorders>
              <w:left w:val="single" w:sz="6" w:space="0" w:color="000000"/>
            </w:tcBorders>
          </w:tcPr>
          <w:p w:rsidR="007B170D" w:rsidRDefault="007B170D" w:rsidP="007B170D">
            <w:pPr>
              <w:pStyle w:val="numbered-paragraph"/>
              <w:shd w:val="clear" w:color="auto" w:fill="FAFAFB"/>
              <w:spacing w:line="360" w:lineRule="atLeast"/>
              <w:rPr>
                <w:rFonts w:ascii="Lato" w:hAnsi="Lato"/>
                <w:color w:val="0E0E0E"/>
              </w:rPr>
            </w:pPr>
            <w:r>
              <w:rPr>
                <w:rStyle w:val="paragraph-number"/>
                <w:rFonts w:ascii="Lato" w:hAnsi="Lato"/>
                <w:color w:val="0E0E0E"/>
              </w:rPr>
              <w:t xml:space="preserve">1.1 </w:t>
            </w:r>
            <w:proofErr w:type="spellStart"/>
            <w:r>
              <w:rPr>
                <w:rFonts w:ascii="Lato" w:hAnsi="Lato"/>
                <w:color w:val="0E0E0E"/>
              </w:rPr>
              <w:t>Ixekizumab</w:t>
            </w:r>
            <w:proofErr w:type="spellEnd"/>
            <w:r>
              <w:rPr>
                <w:rFonts w:ascii="Lato" w:hAnsi="Lato"/>
                <w:color w:val="0E0E0E"/>
              </w:rPr>
              <w:t xml:space="preserve"> alone, or with methotrexate, is recommended as an option for treating active psoriatic arthritis in adults, only if:</w:t>
            </w:r>
          </w:p>
          <w:p w:rsidR="007B170D" w:rsidRDefault="007B170D" w:rsidP="007B170D">
            <w:pPr>
              <w:pStyle w:val="NormalWeb"/>
              <w:numPr>
                <w:ilvl w:val="0"/>
                <w:numId w:val="1"/>
              </w:numPr>
              <w:shd w:val="clear" w:color="auto" w:fill="FAFAFB"/>
              <w:spacing w:line="360" w:lineRule="atLeast"/>
              <w:ind w:left="360"/>
              <w:rPr>
                <w:rFonts w:ascii="Lato" w:hAnsi="Lato"/>
                <w:color w:val="0E0E0E"/>
              </w:rPr>
            </w:pPr>
            <w:r>
              <w:rPr>
                <w:rFonts w:ascii="Lato" w:hAnsi="Lato"/>
                <w:color w:val="0E0E0E"/>
              </w:rPr>
              <w:t xml:space="preserve">it is used as described in NICE's technology appraisal guidance on </w:t>
            </w:r>
            <w:hyperlink r:id="rId7" w:tgtFrame="_top" w:history="1">
              <w:proofErr w:type="spellStart"/>
              <w:r>
                <w:rPr>
                  <w:rStyle w:val="Hyperlink"/>
                  <w:rFonts w:ascii="Lato" w:hAnsi="Lato"/>
                </w:rPr>
                <w:t>etanercept</w:t>
              </w:r>
              <w:proofErr w:type="spellEnd"/>
              <w:r>
                <w:rPr>
                  <w:rStyle w:val="Hyperlink"/>
                  <w:rFonts w:ascii="Lato" w:hAnsi="Lato"/>
                </w:rPr>
                <w:t>, infliximab and adalimumab for the treatment of psoriatic arthritis</w:t>
              </w:r>
            </w:hyperlink>
            <w:r>
              <w:rPr>
                <w:rFonts w:ascii="Lato" w:hAnsi="Lato"/>
                <w:color w:val="0E0E0E"/>
              </w:rPr>
              <w:t xml:space="preserve"> (recommendations 1.1 and 1.2) or</w:t>
            </w:r>
          </w:p>
          <w:p w:rsidR="007B170D" w:rsidRDefault="007B170D" w:rsidP="007B170D">
            <w:pPr>
              <w:pStyle w:val="NormalWeb"/>
              <w:numPr>
                <w:ilvl w:val="0"/>
                <w:numId w:val="1"/>
              </w:numPr>
              <w:shd w:val="clear" w:color="auto" w:fill="FAFAFB"/>
              <w:spacing w:line="360" w:lineRule="atLeast"/>
              <w:ind w:left="360"/>
              <w:rPr>
                <w:rFonts w:ascii="Lato" w:hAnsi="Lato"/>
                <w:color w:val="0E0E0E"/>
              </w:rPr>
            </w:pPr>
            <w:r>
              <w:rPr>
                <w:rFonts w:ascii="Lato" w:hAnsi="Lato"/>
                <w:color w:val="0E0E0E"/>
              </w:rPr>
              <w:t>the person has had a tumour necrosis factor (TNF)-alpha inhibitor but their disease has not responded within the first 12 weeks or has stopped responding after the first 12 weeks or</w:t>
            </w:r>
          </w:p>
          <w:p w:rsidR="007B170D" w:rsidRDefault="007B170D" w:rsidP="007B170D">
            <w:pPr>
              <w:pStyle w:val="NormalWeb"/>
              <w:numPr>
                <w:ilvl w:val="0"/>
                <w:numId w:val="1"/>
              </w:numPr>
              <w:shd w:val="clear" w:color="auto" w:fill="FAFAFB"/>
              <w:spacing w:line="360" w:lineRule="atLeast"/>
              <w:ind w:left="360"/>
              <w:rPr>
                <w:rFonts w:ascii="Lato" w:hAnsi="Lato"/>
                <w:color w:val="0E0E0E"/>
              </w:rPr>
            </w:pPr>
            <w:r>
              <w:rPr>
                <w:rFonts w:ascii="Lato" w:hAnsi="Lato"/>
                <w:color w:val="0E0E0E"/>
              </w:rPr>
              <w:t xml:space="preserve">TNF-alpha inhibitors are contraindicated but would otherwise be considered (as described in NICE's technology appraisal guidance on </w:t>
            </w:r>
            <w:hyperlink r:id="rId8" w:tgtFrame="_top" w:history="1">
              <w:proofErr w:type="spellStart"/>
              <w:r>
                <w:rPr>
                  <w:rStyle w:val="Hyperlink"/>
                  <w:rFonts w:ascii="Lato" w:hAnsi="Lato"/>
                </w:rPr>
                <w:t>etanercept</w:t>
              </w:r>
              <w:proofErr w:type="spellEnd"/>
              <w:r>
                <w:rPr>
                  <w:rStyle w:val="Hyperlink"/>
                  <w:rFonts w:ascii="Lato" w:hAnsi="Lato"/>
                </w:rPr>
                <w:t>, infliximab and adalimumab for the treatment of psoriatic arthritis</w:t>
              </w:r>
            </w:hyperlink>
            <w:r>
              <w:rPr>
                <w:rFonts w:ascii="Lato" w:hAnsi="Lato"/>
                <w:color w:val="0E0E0E"/>
              </w:rPr>
              <w:t>).</w:t>
            </w:r>
            <w:r>
              <w:rPr>
                <w:rFonts w:ascii="Lato" w:hAnsi="Lato"/>
                <w:color w:val="0E0E0E"/>
              </w:rPr>
              <w:br/>
            </w:r>
            <w:r>
              <w:rPr>
                <w:rFonts w:ascii="Lato" w:hAnsi="Lato"/>
                <w:color w:val="0E0E0E"/>
              </w:rPr>
              <w:br/>
            </w:r>
            <w:proofErr w:type="spellStart"/>
            <w:r>
              <w:rPr>
                <w:rFonts w:ascii="Lato" w:hAnsi="Lato"/>
                <w:color w:val="0E0E0E"/>
              </w:rPr>
              <w:t>Ixekizumab</w:t>
            </w:r>
            <w:proofErr w:type="spellEnd"/>
            <w:r>
              <w:rPr>
                <w:rFonts w:ascii="Lato" w:hAnsi="Lato"/>
                <w:color w:val="0E0E0E"/>
              </w:rPr>
              <w:t xml:space="preserve"> is only recommended if the company provides it according to the </w:t>
            </w:r>
            <w:hyperlink r:id="rId9" w:tgtFrame="_top" w:history="1">
              <w:r>
                <w:rPr>
                  <w:rStyle w:val="Hyperlink"/>
                  <w:rFonts w:ascii="Lato" w:hAnsi="Lato"/>
                </w:rPr>
                <w:t>commercial arrangement</w:t>
              </w:r>
            </w:hyperlink>
            <w:r>
              <w:rPr>
                <w:rFonts w:ascii="Lato" w:hAnsi="Lato"/>
                <w:color w:val="0E0E0E"/>
              </w:rPr>
              <w:t>.</w:t>
            </w:r>
          </w:p>
          <w:p w:rsidR="007B170D" w:rsidRDefault="007B170D" w:rsidP="007B170D">
            <w:pPr>
              <w:pStyle w:val="numbered-paragraph"/>
              <w:shd w:val="clear" w:color="auto" w:fill="FAFAFB"/>
              <w:spacing w:line="360" w:lineRule="atLeast"/>
              <w:rPr>
                <w:rFonts w:ascii="Lato" w:hAnsi="Lato"/>
                <w:color w:val="0E0E0E"/>
              </w:rPr>
            </w:pPr>
            <w:r>
              <w:rPr>
                <w:rStyle w:val="paragraph-number"/>
                <w:rFonts w:ascii="Lato" w:hAnsi="Lato"/>
                <w:color w:val="0E0E0E"/>
              </w:rPr>
              <w:lastRenderedPageBreak/>
              <w:t xml:space="preserve">1.2 </w:t>
            </w:r>
            <w:r>
              <w:rPr>
                <w:rFonts w:ascii="Lato" w:hAnsi="Lato"/>
                <w:color w:val="0E0E0E"/>
              </w:rPr>
              <w:t xml:space="preserve">Assess the response to </w:t>
            </w:r>
            <w:proofErr w:type="spellStart"/>
            <w:r>
              <w:rPr>
                <w:rFonts w:ascii="Lato" w:hAnsi="Lato"/>
                <w:color w:val="0E0E0E"/>
              </w:rPr>
              <w:t>ixekizumab</w:t>
            </w:r>
            <w:proofErr w:type="spellEnd"/>
            <w:r>
              <w:rPr>
                <w:rFonts w:ascii="Lato" w:hAnsi="Lato"/>
                <w:color w:val="0E0E0E"/>
              </w:rPr>
              <w:t xml:space="preserve"> after 16 weeks of treatment. Only continue treatment if there is clear evidence of response, defined as an improvement in at least 2 of the 4 Psoriatic Arthritis Response Criteria (</w:t>
            </w:r>
            <w:proofErr w:type="spellStart"/>
            <w:r>
              <w:rPr>
                <w:rFonts w:ascii="Lato" w:hAnsi="Lato"/>
                <w:color w:val="0E0E0E"/>
              </w:rPr>
              <w:t>PsARC</w:t>
            </w:r>
            <w:proofErr w:type="spellEnd"/>
            <w:r>
              <w:rPr>
                <w:rFonts w:ascii="Lato" w:hAnsi="Lato"/>
                <w:color w:val="0E0E0E"/>
              </w:rPr>
              <w:t xml:space="preserve">), 1 of which must be joint tenderness or swelling score, with no worsening in any of the 4 criteria. People whose disease has a Psoriasis Area and Severity Index (PASI) 75 response but whose </w:t>
            </w:r>
            <w:proofErr w:type="spellStart"/>
            <w:r>
              <w:rPr>
                <w:rFonts w:ascii="Lato" w:hAnsi="Lato"/>
                <w:color w:val="0E0E0E"/>
              </w:rPr>
              <w:t>PsARC</w:t>
            </w:r>
            <w:proofErr w:type="spellEnd"/>
            <w:r>
              <w:rPr>
                <w:rFonts w:ascii="Lato" w:hAnsi="Lato"/>
                <w:color w:val="0E0E0E"/>
              </w:rPr>
              <w:t xml:space="preserve"> response does not justify continuing treatment should be assessed by a dermatologist, to determine whether continuing treatment is appropriate based on skin response (as described in NICE's technology appraisal guidance on </w:t>
            </w:r>
            <w:hyperlink r:id="rId10" w:tgtFrame="_top" w:history="1">
              <w:proofErr w:type="spellStart"/>
              <w:r>
                <w:rPr>
                  <w:rStyle w:val="Hyperlink"/>
                  <w:rFonts w:ascii="Lato" w:hAnsi="Lato"/>
                </w:rPr>
                <w:t>etanercept</w:t>
              </w:r>
              <w:proofErr w:type="spellEnd"/>
              <w:r>
                <w:rPr>
                  <w:rStyle w:val="Hyperlink"/>
                  <w:rFonts w:ascii="Lato" w:hAnsi="Lato"/>
                </w:rPr>
                <w:t>, infliximab and adalimumab for the treatment of psoriatic arthritis</w:t>
              </w:r>
            </w:hyperlink>
            <w:r>
              <w:rPr>
                <w:rFonts w:ascii="Lato" w:hAnsi="Lato"/>
                <w:color w:val="0E0E0E"/>
              </w:rPr>
              <w:t>, recommendation 1.3).</w:t>
            </w:r>
          </w:p>
          <w:p w:rsidR="007B170D" w:rsidRDefault="007B170D" w:rsidP="007B170D">
            <w:pPr>
              <w:pStyle w:val="numbered-paragraph"/>
              <w:shd w:val="clear" w:color="auto" w:fill="FAFAFB"/>
              <w:spacing w:line="360" w:lineRule="atLeast"/>
              <w:rPr>
                <w:rFonts w:ascii="Lato" w:hAnsi="Lato"/>
                <w:color w:val="0E0E0E"/>
              </w:rPr>
            </w:pPr>
            <w:r>
              <w:rPr>
                <w:rStyle w:val="paragraph-number"/>
                <w:rFonts w:ascii="Lato" w:hAnsi="Lato"/>
                <w:color w:val="0E0E0E"/>
              </w:rPr>
              <w:t xml:space="preserve">1.3 </w:t>
            </w:r>
            <w:r>
              <w:rPr>
                <w:rFonts w:ascii="Lato" w:hAnsi="Lato"/>
                <w:color w:val="0E0E0E"/>
              </w:rPr>
              <w:t xml:space="preserve">When using the </w:t>
            </w:r>
            <w:proofErr w:type="spellStart"/>
            <w:r>
              <w:rPr>
                <w:rFonts w:ascii="Lato" w:hAnsi="Lato"/>
                <w:color w:val="0E0E0E"/>
              </w:rPr>
              <w:t>PsARC</w:t>
            </w:r>
            <w:proofErr w:type="spellEnd"/>
            <w:r>
              <w:rPr>
                <w:rFonts w:ascii="Lato" w:hAnsi="Lato"/>
                <w:color w:val="0E0E0E"/>
              </w:rPr>
              <w:t xml:space="preserve">, healthcare professionals should take into account any physical, sensory or learning disabilities or communication difficulties that could affect a person's responses to components of the </w:t>
            </w:r>
            <w:proofErr w:type="spellStart"/>
            <w:r>
              <w:rPr>
                <w:rFonts w:ascii="Lato" w:hAnsi="Lato"/>
                <w:color w:val="0E0E0E"/>
              </w:rPr>
              <w:t>PsARC</w:t>
            </w:r>
            <w:proofErr w:type="spellEnd"/>
            <w:r>
              <w:rPr>
                <w:rFonts w:ascii="Lato" w:hAnsi="Lato"/>
                <w:color w:val="0E0E0E"/>
              </w:rPr>
              <w:t xml:space="preserve"> and make any adjustments they consider appropriate.</w:t>
            </w:r>
          </w:p>
          <w:p w:rsidR="007B170D" w:rsidRDefault="007B170D" w:rsidP="007B170D">
            <w:pPr>
              <w:pStyle w:val="numbered-paragraph"/>
              <w:shd w:val="clear" w:color="auto" w:fill="FAFAFB"/>
              <w:spacing w:line="360" w:lineRule="atLeast"/>
              <w:rPr>
                <w:rFonts w:ascii="Lato" w:hAnsi="Lato"/>
                <w:color w:val="0E0E0E"/>
              </w:rPr>
            </w:pPr>
            <w:r>
              <w:rPr>
                <w:rStyle w:val="paragraph-number"/>
                <w:rFonts w:ascii="Lato" w:hAnsi="Lato"/>
                <w:color w:val="0E0E0E"/>
              </w:rPr>
              <w:t xml:space="preserve">1.4 </w:t>
            </w:r>
            <w:r>
              <w:rPr>
                <w:rFonts w:ascii="Lato" w:hAnsi="Lato"/>
                <w:color w:val="0E0E0E"/>
              </w:rPr>
              <w:t>When using the PASI, healthcare professionals should take into account skin colour and how this could affect the PASI score, and make the clinical adjustments they consider appropriate.</w:t>
            </w:r>
          </w:p>
          <w:p w:rsidR="007B170D" w:rsidRDefault="007B170D" w:rsidP="007B170D">
            <w:pPr>
              <w:pStyle w:val="numbered-paragraph"/>
              <w:shd w:val="clear" w:color="auto" w:fill="FAFAFB"/>
              <w:spacing w:line="360" w:lineRule="atLeast"/>
              <w:rPr>
                <w:rFonts w:ascii="Lato" w:hAnsi="Lato"/>
                <w:color w:val="0E0E0E"/>
              </w:rPr>
            </w:pPr>
            <w:r>
              <w:rPr>
                <w:rStyle w:val="paragraph-number"/>
                <w:rFonts w:ascii="Lato" w:hAnsi="Lato"/>
                <w:color w:val="0E0E0E"/>
              </w:rPr>
              <w:t xml:space="preserve">1.5 </w:t>
            </w:r>
            <w:r>
              <w:rPr>
                <w:rFonts w:ascii="Lato" w:hAnsi="Lato"/>
                <w:color w:val="0E0E0E"/>
              </w:rPr>
              <w:t xml:space="preserve">These recommendations are not intended to affect treatment with </w:t>
            </w:r>
            <w:proofErr w:type="spellStart"/>
            <w:r>
              <w:rPr>
                <w:rFonts w:ascii="Lato" w:hAnsi="Lato"/>
                <w:color w:val="0E0E0E"/>
              </w:rPr>
              <w:t>ixekizumab</w:t>
            </w:r>
            <w:proofErr w:type="spellEnd"/>
            <w:r>
              <w:rPr>
                <w:rFonts w:ascii="Lato" w:hAnsi="Lato"/>
                <w:color w:val="0E0E0E"/>
              </w:rPr>
              <w:t xml:space="preserve"> that was started in the NHS before this guidance was published. People having treatment outside these recommendations may continue without change to the funding arrangements in place for them before this guidance was published, until they and their NHS clinician consider it appropriate to stop.</w:t>
            </w:r>
          </w:p>
          <w:p w:rsidR="008C4F69" w:rsidRDefault="008C4F69">
            <w:pPr>
              <w:pStyle w:val="TableParagraph"/>
              <w:spacing w:line="250" w:lineRule="exact"/>
            </w:pPr>
          </w:p>
        </w:tc>
      </w:tr>
      <w:tr w:rsidR="008C4F69">
        <w:trPr>
          <w:trHeight w:val="340"/>
        </w:trPr>
        <w:tc>
          <w:tcPr>
            <w:tcW w:w="9244" w:type="dxa"/>
            <w:tcBorders>
              <w:left w:val="single" w:sz="6" w:space="0" w:color="000000"/>
            </w:tcBorders>
            <w:shd w:val="clear" w:color="auto" w:fill="F1F1F1"/>
          </w:tcPr>
          <w:p w:rsidR="008C4F69" w:rsidRDefault="00FE29B4">
            <w:pPr>
              <w:pStyle w:val="TableParagraph"/>
              <w:spacing w:before="38"/>
              <w:rPr>
                <w:b/>
              </w:rPr>
            </w:pPr>
            <w:r>
              <w:rPr>
                <w:b/>
              </w:rPr>
              <w:lastRenderedPageBreak/>
              <w:t>Cost implications*</w:t>
            </w:r>
          </w:p>
        </w:tc>
      </w:tr>
      <w:tr w:rsidR="008C4F69">
        <w:trPr>
          <w:trHeight w:val="3151"/>
        </w:trPr>
        <w:tc>
          <w:tcPr>
            <w:tcW w:w="9244" w:type="dxa"/>
            <w:tcBorders>
              <w:left w:val="single" w:sz="6" w:space="0" w:color="000000"/>
            </w:tcBorders>
          </w:tcPr>
          <w:p w:rsidR="008C4F69" w:rsidRPr="007B170D" w:rsidRDefault="00FE29B4" w:rsidP="007B170D">
            <w:pPr>
              <w:pStyle w:val="TableParagraph"/>
              <w:spacing w:line="248" w:lineRule="exact"/>
            </w:pPr>
            <w:r>
              <w:rPr>
                <w:b/>
              </w:rPr>
              <w:t>Cost of product:</w:t>
            </w:r>
            <w:r w:rsidR="007B170D">
              <w:rPr>
                <w:b/>
              </w:rPr>
              <w:t xml:space="preserve"> </w:t>
            </w:r>
            <w:r w:rsidR="007B170D">
              <w:t xml:space="preserve">The price is </w:t>
            </w:r>
            <w:r w:rsidR="007B170D">
              <w:rPr>
                <w:color w:val="1F497D"/>
              </w:rPr>
              <w:t>£1125 </w:t>
            </w:r>
            <w:r w:rsidR="007B170D">
              <w:rPr>
                <w:color w:val="1F497D"/>
              </w:rPr>
              <w:t xml:space="preserve">per 80mg vial ex </w:t>
            </w:r>
            <w:proofErr w:type="gramStart"/>
            <w:r w:rsidR="007B170D">
              <w:rPr>
                <w:color w:val="1F497D"/>
              </w:rPr>
              <w:t>VAT(</w:t>
            </w:r>
            <w:proofErr w:type="gramEnd"/>
            <w:r w:rsidR="007B170D">
              <w:rPr>
                <w:color w:val="1F497D"/>
              </w:rPr>
              <w:t xml:space="preserve">maintenance dose is 80mg every 4 weeks).  There is however a patient access scheme in place for </w:t>
            </w:r>
            <w:proofErr w:type="spellStart"/>
            <w:r w:rsidR="007B170D">
              <w:rPr>
                <w:color w:val="1F497D"/>
              </w:rPr>
              <w:t>ixekizumab</w:t>
            </w:r>
            <w:proofErr w:type="spellEnd"/>
          </w:p>
          <w:p w:rsidR="008C4F69" w:rsidRDefault="008C4F69">
            <w:pPr>
              <w:pStyle w:val="TableParagraph"/>
              <w:spacing w:before="6"/>
              <w:ind w:left="0"/>
              <w:rPr>
                <w:b/>
                <w:sz w:val="21"/>
              </w:rPr>
            </w:pPr>
          </w:p>
          <w:p w:rsidR="008C4F69" w:rsidRDefault="00FE29B4">
            <w:pPr>
              <w:pStyle w:val="TableParagraph"/>
              <w:rPr>
                <w:i/>
              </w:rPr>
            </w:pPr>
            <w:r>
              <w:rPr>
                <w:b/>
              </w:rPr>
              <w:t xml:space="preserve">Availability of PAS and details (if appropriate): </w:t>
            </w:r>
            <w:r>
              <w:rPr>
                <w:i/>
                <w:color w:val="006FC0"/>
              </w:rPr>
              <w:t>Yes / No</w:t>
            </w:r>
          </w:p>
          <w:p w:rsidR="008C4F69" w:rsidRDefault="008C4F69">
            <w:pPr>
              <w:pStyle w:val="TableParagraph"/>
              <w:ind w:left="0"/>
              <w:rPr>
                <w:b/>
              </w:rPr>
            </w:pPr>
          </w:p>
          <w:p w:rsidR="008C4F69" w:rsidRDefault="00FE29B4">
            <w:pPr>
              <w:pStyle w:val="TableParagraph"/>
              <w:spacing w:before="1"/>
              <w:rPr>
                <w:i/>
                <w:color w:val="006FC0"/>
              </w:rPr>
            </w:pPr>
            <w:r>
              <w:rPr>
                <w:b/>
              </w:rPr>
              <w:t xml:space="preserve">Availability of homecare service (if appropriate): </w:t>
            </w:r>
            <w:r>
              <w:rPr>
                <w:i/>
                <w:color w:val="006FC0"/>
              </w:rPr>
              <w:t xml:space="preserve">Yes </w:t>
            </w:r>
          </w:p>
          <w:p w:rsidR="00FE29B4" w:rsidRDefault="00FE29B4" w:rsidP="007B170D">
            <w:pPr>
              <w:pStyle w:val="TableParagraph"/>
              <w:spacing w:before="1"/>
              <w:rPr>
                <w:color w:val="000000" w:themeColor="text1"/>
                <w:sz w:val="20"/>
              </w:rPr>
            </w:pPr>
          </w:p>
          <w:p w:rsidR="007B170D" w:rsidRDefault="00FE29B4" w:rsidP="007B170D">
            <w:pPr>
              <w:pStyle w:val="TableParagraph"/>
              <w:spacing w:before="1"/>
              <w:rPr>
                <w:color w:val="000000" w:themeColor="text1"/>
                <w:sz w:val="20"/>
              </w:rPr>
            </w:pPr>
            <w:proofErr w:type="spellStart"/>
            <w:r>
              <w:rPr>
                <w:color w:val="000000" w:themeColor="text1"/>
                <w:sz w:val="20"/>
              </w:rPr>
              <w:t>Ixekizumab</w:t>
            </w:r>
            <w:proofErr w:type="spellEnd"/>
            <w:r>
              <w:rPr>
                <w:color w:val="000000" w:themeColor="text1"/>
                <w:sz w:val="20"/>
              </w:rPr>
              <w:t xml:space="preserve"> </w:t>
            </w:r>
            <w:r w:rsidR="007B170D" w:rsidRPr="007B170D">
              <w:rPr>
                <w:color w:val="000000" w:themeColor="text1"/>
                <w:sz w:val="20"/>
              </w:rPr>
              <w:t xml:space="preserve">is </w:t>
            </w:r>
            <w:proofErr w:type="gramStart"/>
            <w:r w:rsidR="007B170D" w:rsidRPr="007B170D">
              <w:rPr>
                <w:color w:val="000000" w:themeColor="text1"/>
                <w:sz w:val="20"/>
              </w:rPr>
              <w:t xml:space="preserve">another  </w:t>
            </w:r>
            <w:r w:rsidR="007B170D" w:rsidRPr="007560B7">
              <w:rPr>
                <w:color w:val="000000" w:themeColor="text1"/>
                <w:sz w:val="20"/>
              </w:rPr>
              <w:t>IL</w:t>
            </w:r>
            <w:proofErr w:type="gramEnd"/>
            <w:r w:rsidR="007B170D" w:rsidRPr="007560B7">
              <w:rPr>
                <w:color w:val="000000" w:themeColor="text1"/>
                <w:sz w:val="20"/>
              </w:rPr>
              <w:t>-17A inhibitor</w:t>
            </w:r>
            <w:r w:rsidR="007B170D">
              <w:rPr>
                <w:color w:val="000000" w:themeColor="text1"/>
                <w:sz w:val="20"/>
              </w:rPr>
              <w:t xml:space="preserve">  which is NICE approved for </w:t>
            </w:r>
            <w:proofErr w:type="spellStart"/>
            <w:r w:rsidR="007B170D">
              <w:rPr>
                <w:color w:val="000000" w:themeColor="text1"/>
                <w:sz w:val="20"/>
              </w:rPr>
              <w:t>PsA.</w:t>
            </w:r>
            <w:proofErr w:type="spellEnd"/>
            <w:r w:rsidR="007B170D">
              <w:rPr>
                <w:color w:val="000000" w:themeColor="text1"/>
                <w:sz w:val="20"/>
              </w:rPr>
              <w:t xml:space="preserve">  This has been discussed at the Rheumatology Network and has been included in the </w:t>
            </w:r>
            <w:proofErr w:type="spellStart"/>
            <w:r w:rsidR="007B170D">
              <w:rPr>
                <w:color w:val="000000" w:themeColor="text1"/>
                <w:sz w:val="20"/>
              </w:rPr>
              <w:t>PsA</w:t>
            </w:r>
            <w:proofErr w:type="spellEnd"/>
            <w:r w:rsidR="007B170D">
              <w:rPr>
                <w:color w:val="000000" w:themeColor="text1"/>
                <w:sz w:val="20"/>
              </w:rPr>
              <w:t xml:space="preserve"> treatment pathway as an additional choice.  It does not affect the overall lines of treatment available to patients.  Using the patient access scheme price there is no additional cost pressure by adding </w:t>
            </w:r>
            <w:proofErr w:type="spellStart"/>
            <w:r w:rsidR="007B170D">
              <w:rPr>
                <w:color w:val="000000" w:themeColor="text1"/>
                <w:sz w:val="20"/>
              </w:rPr>
              <w:t>ixekizumab</w:t>
            </w:r>
            <w:proofErr w:type="spellEnd"/>
            <w:r w:rsidR="007B170D">
              <w:rPr>
                <w:color w:val="000000" w:themeColor="text1"/>
                <w:sz w:val="20"/>
              </w:rPr>
              <w:t xml:space="preserve"> into the pathway as a treatment option.</w:t>
            </w:r>
          </w:p>
          <w:p w:rsidR="007B170D" w:rsidRDefault="007B170D" w:rsidP="007B170D">
            <w:pPr>
              <w:pStyle w:val="TableParagraph"/>
              <w:spacing w:before="1"/>
              <w:rPr>
                <w:color w:val="000000" w:themeColor="text1"/>
                <w:sz w:val="20"/>
              </w:rPr>
            </w:pPr>
          </w:p>
          <w:p w:rsidR="007B170D" w:rsidRPr="007B170D" w:rsidRDefault="007B170D" w:rsidP="007B170D">
            <w:pPr>
              <w:pStyle w:val="TableParagraph"/>
              <w:spacing w:before="1"/>
              <w:rPr>
                <w:color w:val="000000" w:themeColor="text1"/>
                <w:sz w:val="20"/>
              </w:rPr>
            </w:pPr>
            <w:r>
              <w:rPr>
                <w:color w:val="000000" w:themeColor="text1"/>
                <w:sz w:val="20"/>
              </w:rPr>
              <w:t xml:space="preserve">The rheumatology network will be reviewing this pathway at the next meeting when biosimilar adalimumab is available as there is a need to review </w:t>
            </w:r>
            <w:proofErr w:type="gramStart"/>
            <w:r w:rsidR="00FE29B4">
              <w:rPr>
                <w:color w:val="000000" w:themeColor="text1"/>
                <w:sz w:val="20"/>
              </w:rPr>
              <w:t>which is the least expensive drug available and potential preferred choices</w:t>
            </w:r>
            <w:proofErr w:type="gramEnd"/>
            <w:r w:rsidR="00FE29B4">
              <w:rPr>
                <w:color w:val="000000" w:themeColor="text1"/>
                <w:sz w:val="20"/>
              </w:rPr>
              <w:t xml:space="preserve">.  </w:t>
            </w:r>
          </w:p>
          <w:p w:rsidR="008C4F69" w:rsidRDefault="008C4F69">
            <w:pPr>
              <w:pStyle w:val="TableParagraph"/>
              <w:spacing w:before="5"/>
              <w:ind w:left="0"/>
              <w:rPr>
                <w:b/>
              </w:rPr>
            </w:pPr>
          </w:p>
          <w:p w:rsidR="008C4F69" w:rsidRDefault="00FE29B4">
            <w:pPr>
              <w:pStyle w:val="TableParagraph"/>
              <w:spacing w:before="1" w:line="182" w:lineRule="exact"/>
              <w:ind w:right="622"/>
              <w:rPr>
                <w:i/>
                <w:sz w:val="16"/>
              </w:rPr>
            </w:pPr>
            <w:r>
              <w:rPr>
                <w:i/>
                <w:sz w:val="16"/>
              </w:rPr>
              <w:t xml:space="preserve">*NICE funding requirements are based on Quality Adjusted Life Years (QALY) threshold. If </w:t>
            </w:r>
            <w:r>
              <w:rPr>
                <w:i/>
                <w:sz w:val="16"/>
              </w:rPr>
              <w:t>there is evidence that the incre</w:t>
            </w:r>
            <w:r>
              <w:rPr>
                <w:i/>
                <w:sz w:val="16"/>
              </w:rPr>
              <w:t>mental cost rises above this threshold in the futur</w:t>
            </w:r>
            <w:r>
              <w:rPr>
                <w:i/>
                <w:sz w:val="16"/>
              </w:rPr>
              <w:t>e, the PCN may reconsider the commissioning status.</w:t>
            </w:r>
          </w:p>
        </w:tc>
      </w:tr>
      <w:tr w:rsidR="008C4F69">
        <w:trPr>
          <w:trHeight w:val="251"/>
        </w:trPr>
        <w:tc>
          <w:tcPr>
            <w:tcW w:w="9244" w:type="dxa"/>
            <w:tcBorders>
              <w:left w:val="single" w:sz="6" w:space="0" w:color="000000"/>
            </w:tcBorders>
          </w:tcPr>
          <w:p w:rsidR="008C4F69" w:rsidRDefault="00FE29B4">
            <w:pPr>
              <w:pStyle w:val="TableParagraph"/>
              <w:spacing w:line="232" w:lineRule="exact"/>
              <w:rPr>
                <w:b/>
              </w:rPr>
            </w:pPr>
            <w:r>
              <w:rPr>
                <w:b/>
              </w:rPr>
              <w:t>Other NICE recommended products:</w:t>
            </w:r>
          </w:p>
        </w:tc>
      </w:tr>
    </w:tbl>
    <w:p w:rsidR="008C4F69" w:rsidRDefault="008C4F69">
      <w:pPr>
        <w:spacing w:line="232" w:lineRule="exact"/>
        <w:sectPr w:rsidR="008C4F69">
          <w:type w:val="continuous"/>
          <w:pgSz w:w="11910" w:h="16840"/>
          <w:pgMar w:top="1200" w:right="1200" w:bottom="280" w:left="12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8C4F69" w:rsidTr="00FE29B4">
        <w:trPr>
          <w:trHeight w:val="416"/>
        </w:trPr>
        <w:tc>
          <w:tcPr>
            <w:tcW w:w="9244" w:type="dxa"/>
            <w:tcBorders>
              <w:left w:val="single" w:sz="6" w:space="0" w:color="000000"/>
            </w:tcBorders>
          </w:tcPr>
          <w:p w:rsidR="008C4F69" w:rsidRPr="00FE29B4" w:rsidRDefault="00FE29B4">
            <w:pPr>
              <w:pStyle w:val="TableParagraph"/>
              <w:spacing w:line="246" w:lineRule="exact"/>
              <w:rPr>
                <w:color w:val="000000" w:themeColor="text1"/>
                <w:sz w:val="20"/>
              </w:rPr>
            </w:pPr>
            <w:r w:rsidRPr="00FE29B4">
              <w:rPr>
                <w:color w:val="000000" w:themeColor="text1"/>
                <w:sz w:val="20"/>
              </w:rPr>
              <w:lastRenderedPageBreak/>
              <w:t>See pathway</w:t>
            </w:r>
          </w:p>
          <w:p w:rsidR="008C4F69" w:rsidRDefault="008C4F69" w:rsidP="00FE29B4">
            <w:pPr>
              <w:pStyle w:val="TableParagraph"/>
              <w:spacing w:before="4"/>
              <w:ind w:left="0"/>
            </w:pPr>
          </w:p>
        </w:tc>
      </w:tr>
      <w:tr w:rsidR="008C4F69">
        <w:trPr>
          <w:trHeight w:val="337"/>
        </w:trPr>
        <w:tc>
          <w:tcPr>
            <w:tcW w:w="9244" w:type="dxa"/>
            <w:tcBorders>
              <w:left w:val="single" w:sz="6" w:space="0" w:color="000000"/>
            </w:tcBorders>
            <w:shd w:val="clear" w:color="auto" w:fill="F1F1F1"/>
          </w:tcPr>
          <w:p w:rsidR="008C4F69" w:rsidRDefault="00FE29B4">
            <w:pPr>
              <w:pStyle w:val="TableParagraph"/>
              <w:spacing w:before="32"/>
              <w:rPr>
                <w:b/>
              </w:rPr>
            </w:pPr>
            <w:r>
              <w:rPr>
                <w:b/>
              </w:rPr>
              <w:t>Impact to patients</w:t>
            </w:r>
          </w:p>
        </w:tc>
      </w:tr>
      <w:tr w:rsidR="008C4F69">
        <w:trPr>
          <w:trHeight w:val="506"/>
        </w:trPr>
        <w:tc>
          <w:tcPr>
            <w:tcW w:w="9244" w:type="dxa"/>
            <w:tcBorders>
              <w:left w:val="single" w:sz="6" w:space="0" w:color="000000"/>
            </w:tcBorders>
          </w:tcPr>
          <w:p w:rsidR="008C4F69" w:rsidRDefault="00FE29B4">
            <w:pPr>
              <w:pStyle w:val="TableParagraph"/>
              <w:spacing w:line="240" w:lineRule="exact"/>
              <w:rPr>
                <w:i/>
              </w:rPr>
            </w:pPr>
            <w:r w:rsidRPr="00FE29B4">
              <w:rPr>
                <w:color w:val="000000" w:themeColor="text1"/>
                <w:sz w:val="20"/>
              </w:rPr>
              <w:t>Additional treatment choice – monthly injection</w:t>
            </w:r>
            <w:r>
              <w:rPr>
                <w:color w:val="1F487C"/>
              </w:rPr>
              <w:t xml:space="preserve"> </w:t>
            </w:r>
          </w:p>
        </w:tc>
      </w:tr>
      <w:tr w:rsidR="008C4F69">
        <w:trPr>
          <w:trHeight w:val="340"/>
        </w:trPr>
        <w:tc>
          <w:tcPr>
            <w:tcW w:w="9244" w:type="dxa"/>
            <w:tcBorders>
              <w:left w:val="single" w:sz="6" w:space="0" w:color="000000"/>
            </w:tcBorders>
            <w:shd w:val="clear" w:color="auto" w:fill="F1F1F1"/>
          </w:tcPr>
          <w:p w:rsidR="008C4F69" w:rsidRDefault="00FE29B4">
            <w:pPr>
              <w:pStyle w:val="TableParagraph"/>
              <w:spacing w:before="34"/>
              <w:rPr>
                <w:b/>
              </w:rPr>
            </w:pPr>
            <w:r>
              <w:rPr>
                <w:b/>
              </w:rPr>
              <w:t>Impact to primary care prescribers</w:t>
            </w:r>
          </w:p>
        </w:tc>
      </w:tr>
      <w:tr w:rsidR="008C4F69">
        <w:trPr>
          <w:trHeight w:val="760"/>
        </w:trPr>
        <w:tc>
          <w:tcPr>
            <w:tcW w:w="9244" w:type="dxa"/>
            <w:tcBorders>
              <w:left w:val="single" w:sz="6" w:space="0" w:color="000000"/>
            </w:tcBorders>
          </w:tcPr>
          <w:p w:rsidR="008C4F69" w:rsidRDefault="00FE29B4">
            <w:pPr>
              <w:pStyle w:val="TableParagraph"/>
              <w:spacing w:before="6" w:line="252" w:lineRule="exact"/>
              <w:ind w:right="3114"/>
            </w:pPr>
            <w:r>
              <w:rPr>
                <w:color w:val="1F487C"/>
              </w:rPr>
              <w:t xml:space="preserve">None – this will be a red drug </w:t>
            </w:r>
          </w:p>
        </w:tc>
      </w:tr>
      <w:tr w:rsidR="008C4F69">
        <w:trPr>
          <w:trHeight w:val="338"/>
        </w:trPr>
        <w:tc>
          <w:tcPr>
            <w:tcW w:w="9244" w:type="dxa"/>
            <w:tcBorders>
              <w:left w:val="single" w:sz="6" w:space="0" w:color="000000"/>
            </w:tcBorders>
            <w:shd w:val="clear" w:color="auto" w:fill="F1F1F1"/>
          </w:tcPr>
          <w:p w:rsidR="008C4F69" w:rsidRDefault="00FE29B4">
            <w:pPr>
              <w:pStyle w:val="TableParagraph"/>
              <w:spacing w:before="32"/>
              <w:rPr>
                <w:b/>
              </w:rPr>
            </w:pPr>
            <w:r>
              <w:rPr>
                <w:b/>
              </w:rPr>
              <w:t>Impact to secondary care</w:t>
            </w:r>
          </w:p>
        </w:tc>
      </w:tr>
      <w:tr w:rsidR="008C4F69" w:rsidTr="00FE29B4">
        <w:trPr>
          <w:trHeight w:val="691"/>
        </w:trPr>
        <w:tc>
          <w:tcPr>
            <w:tcW w:w="9244" w:type="dxa"/>
            <w:tcBorders>
              <w:left w:val="single" w:sz="6" w:space="0" w:color="000000"/>
            </w:tcBorders>
          </w:tcPr>
          <w:p w:rsidR="008C4F69" w:rsidRDefault="00FE29B4">
            <w:pPr>
              <w:pStyle w:val="TableParagraph"/>
              <w:spacing w:before="4" w:line="252" w:lineRule="exact"/>
              <w:ind w:right="510"/>
            </w:pPr>
            <w:r>
              <w:rPr>
                <w:color w:val="1F487C"/>
              </w:rPr>
              <w:t xml:space="preserve">This is a NICE approved </w:t>
            </w:r>
            <w:proofErr w:type="spellStart"/>
            <w:r>
              <w:rPr>
                <w:color w:val="1F487C"/>
              </w:rPr>
              <w:t>PbRe</w:t>
            </w:r>
            <w:proofErr w:type="spellEnd"/>
            <w:r>
              <w:rPr>
                <w:color w:val="1F487C"/>
              </w:rPr>
              <w:t xml:space="preserve"> drug and will be considered RED on the traffic light system.  It is an additional treatment choice</w:t>
            </w:r>
          </w:p>
        </w:tc>
      </w:tr>
      <w:tr w:rsidR="008C4F69">
        <w:trPr>
          <w:trHeight w:val="340"/>
        </w:trPr>
        <w:tc>
          <w:tcPr>
            <w:tcW w:w="9244" w:type="dxa"/>
            <w:tcBorders>
              <w:left w:val="single" w:sz="6" w:space="0" w:color="000000"/>
            </w:tcBorders>
            <w:shd w:val="clear" w:color="auto" w:fill="F1F1F1"/>
          </w:tcPr>
          <w:p w:rsidR="008C4F69" w:rsidRDefault="00FE29B4">
            <w:pPr>
              <w:pStyle w:val="TableParagraph"/>
              <w:spacing w:before="32"/>
              <w:rPr>
                <w:b/>
              </w:rPr>
            </w:pPr>
            <w:r>
              <w:rPr>
                <w:b/>
              </w:rPr>
              <w:t>Impact to CCGs</w:t>
            </w:r>
          </w:p>
        </w:tc>
      </w:tr>
      <w:tr w:rsidR="008C4F69">
        <w:trPr>
          <w:trHeight w:val="506"/>
        </w:trPr>
        <w:tc>
          <w:tcPr>
            <w:tcW w:w="9244" w:type="dxa"/>
            <w:tcBorders>
              <w:left w:val="single" w:sz="6" w:space="0" w:color="000000"/>
            </w:tcBorders>
          </w:tcPr>
          <w:p w:rsidR="008C4F69" w:rsidRDefault="00FE29B4">
            <w:pPr>
              <w:pStyle w:val="TableParagraph"/>
              <w:spacing w:line="242" w:lineRule="exact"/>
            </w:pPr>
            <w:r>
              <w:rPr>
                <w:color w:val="1F487C"/>
              </w:rPr>
              <w:t>This is an additional treatment choice and no cost pressure anticipated</w:t>
            </w:r>
          </w:p>
        </w:tc>
      </w:tr>
      <w:tr w:rsidR="008C4F69">
        <w:trPr>
          <w:trHeight w:val="337"/>
        </w:trPr>
        <w:tc>
          <w:tcPr>
            <w:tcW w:w="9244" w:type="dxa"/>
            <w:tcBorders>
              <w:left w:val="single" w:sz="6" w:space="0" w:color="000000"/>
            </w:tcBorders>
            <w:shd w:val="clear" w:color="auto" w:fill="F1F1F1"/>
          </w:tcPr>
          <w:p w:rsidR="008C4F69" w:rsidRDefault="00FE29B4">
            <w:pPr>
              <w:pStyle w:val="TableParagraph"/>
              <w:spacing w:before="32"/>
              <w:rPr>
                <w:b/>
              </w:rPr>
            </w:pPr>
            <w:r>
              <w:rPr>
                <w:b/>
              </w:rPr>
              <w:t>Implementation</w:t>
            </w:r>
          </w:p>
        </w:tc>
      </w:tr>
      <w:tr w:rsidR="008C4F69" w:rsidTr="00FE29B4">
        <w:trPr>
          <w:trHeight w:val="761"/>
        </w:trPr>
        <w:tc>
          <w:tcPr>
            <w:tcW w:w="9244" w:type="dxa"/>
            <w:tcBorders>
              <w:left w:val="single" w:sz="6" w:space="0" w:color="000000"/>
            </w:tcBorders>
          </w:tcPr>
          <w:p w:rsidR="008C4F69" w:rsidRDefault="00FE29B4">
            <w:pPr>
              <w:pStyle w:val="TableParagraph"/>
              <w:ind w:right="227"/>
              <w:rPr>
                <w:color w:val="1F487C"/>
              </w:rPr>
            </w:pPr>
            <w:r>
              <w:rPr>
                <w:color w:val="1F487C"/>
              </w:rPr>
              <w:t>Guidelines have been updated – see attached for agreement</w:t>
            </w:r>
          </w:p>
          <w:p w:rsidR="00FE29B4" w:rsidRDefault="00FE29B4">
            <w:pPr>
              <w:pStyle w:val="TableParagraph"/>
              <w:ind w:right="227"/>
            </w:pPr>
            <w:r>
              <w:rPr>
                <w:color w:val="1F487C"/>
              </w:rPr>
              <w:t xml:space="preserve">If approved </w:t>
            </w:r>
            <w:proofErr w:type="spellStart"/>
            <w:r>
              <w:rPr>
                <w:color w:val="1F487C"/>
              </w:rPr>
              <w:t>Blueteq</w:t>
            </w:r>
            <w:proofErr w:type="spellEnd"/>
            <w:r>
              <w:rPr>
                <w:color w:val="1F487C"/>
              </w:rPr>
              <w:t xml:space="preserve"> form will need to be developed</w:t>
            </w:r>
          </w:p>
        </w:tc>
      </w:tr>
      <w:tr w:rsidR="008C4F69">
        <w:trPr>
          <w:trHeight w:val="340"/>
        </w:trPr>
        <w:tc>
          <w:tcPr>
            <w:tcW w:w="9244" w:type="dxa"/>
            <w:tcBorders>
              <w:left w:val="single" w:sz="6" w:space="0" w:color="000000"/>
            </w:tcBorders>
            <w:shd w:val="clear" w:color="auto" w:fill="F1F1F1"/>
          </w:tcPr>
          <w:p w:rsidR="008C4F69" w:rsidRDefault="00FE29B4">
            <w:pPr>
              <w:pStyle w:val="TableParagraph"/>
              <w:spacing w:before="32"/>
              <w:rPr>
                <w:b/>
              </w:rPr>
            </w:pPr>
            <w:r>
              <w:rPr>
                <w:b/>
              </w:rPr>
              <w:t>Recommendati</w:t>
            </w:r>
            <w:r>
              <w:rPr>
                <w:b/>
              </w:rPr>
              <w:t>on to PCN</w:t>
            </w:r>
          </w:p>
        </w:tc>
      </w:tr>
      <w:tr w:rsidR="008C4F69">
        <w:trPr>
          <w:trHeight w:val="2555"/>
        </w:trPr>
        <w:tc>
          <w:tcPr>
            <w:tcW w:w="9244" w:type="dxa"/>
            <w:tcBorders>
              <w:left w:val="single" w:sz="6" w:space="0" w:color="000000"/>
            </w:tcBorders>
          </w:tcPr>
          <w:p w:rsidR="008C4F69" w:rsidRDefault="00FE29B4">
            <w:pPr>
              <w:pStyle w:val="TableParagraph"/>
              <w:spacing w:after="11" w:line="242" w:lineRule="exact"/>
            </w:pPr>
            <w:proofErr w:type="spellStart"/>
            <w:r>
              <w:rPr>
                <w:b/>
              </w:rPr>
              <w:t>PbRe</w:t>
            </w:r>
            <w:proofErr w:type="spellEnd"/>
            <w:r>
              <w:rPr>
                <w:b/>
              </w:rPr>
              <w:t xml:space="preserve">: </w:t>
            </w:r>
            <w:r>
              <w:rPr>
                <w:color w:val="1F487C"/>
              </w:rPr>
              <w:t>Y/</w:t>
            </w:r>
          </w:p>
          <w:p w:rsidR="008C4F69" w:rsidRDefault="00FE29B4">
            <w:pPr>
              <w:pStyle w:val="TableParagraph"/>
              <w:ind w:left="6878"/>
              <w:rPr>
                <w:sz w:val="20"/>
              </w:rPr>
            </w:pPr>
            <w:r>
              <w:rPr>
                <w:noProof/>
                <w:sz w:val="20"/>
                <w:lang w:bidi="ar-SA"/>
              </w:rPr>
              <w:drawing>
                <wp:inline distT="0" distB="0" distL="0" distR="0">
                  <wp:extent cx="304488" cy="304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04488" cy="304800"/>
                          </a:xfrm>
                          <a:prstGeom prst="rect">
                            <a:avLst/>
                          </a:prstGeom>
                        </pic:spPr>
                      </pic:pic>
                    </a:graphicData>
                  </a:graphic>
                </wp:inline>
              </w:drawing>
            </w:r>
          </w:p>
          <w:p w:rsidR="008C4F69" w:rsidRDefault="00FE29B4">
            <w:pPr>
              <w:pStyle w:val="TableParagraph"/>
              <w:spacing w:before="21"/>
              <w:ind w:left="0" w:right="1403"/>
              <w:jc w:val="right"/>
              <w:rPr>
                <w:rFonts w:ascii="Tahoma"/>
                <w:sz w:val="16"/>
              </w:rPr>
            </w:pPr>
            <w:r>
              <w:rPr>
                <w:rFonts w:ascii="Tahoma"/>
                <w:sz w:val="16"/>
              </w:rPr>
              <w:t>Colour classification</w:t>
            </w:r>
          </w:p>
          <w:p w:rsidR="008C4F69" w:rsidRDefault="00FE29B4">
            <w:pPr>
              <w:pStyle w:val="TableParagraph"/>
              <w:tabs>
                <w:tab w:val="left" w:pos="6758"/>
              </w:tabs>
              <w:spacing w:before="62"/>
              <w:rPr>
                <w:rFonts w:ascii="Tahoma"/>
              </w:rPr>
            </w:pPr>
            <w:r>
              <w:rPr>
                <w:b/>
              </w:rPr>
              <w:t>Recommended traffic light status (see</w:t>
            </w:r>
            <w:r>
              <w:rPr>
                <w:b/>
                <w:spacing w:val="-12"/>
              </w:rPr>
              <w:t xml:space="preserve"> </w:t>
            </w:r>
            <w:r>
              <w:rPr>
                <w:b/>
              </w:rPr>
              <w:t>attached</w:t>
            </w:r>
            <w:r>
              <w:rPr>
                <w:b/>
                <w:spacing w:val="-2"/>
              </w:rPr>
              <w:t xml:space="preserve"> </w:t>
            </w:r>
            <w:r>
              <w:rPr>
                <w:b/>
              </w:rPr>
              <w:t>guidelines):</w:t>
            </w:r>
            <w:r>
              <w:rPr>
                <w:b/>
              </w:rPr>
              <w:tab/>
            </w:r>
            <w:r>
              <w:rPr>
                <w:rFonts w:ascii="Tahoma"/>
                <w:spacing w:val="-4"/>
                <w:vertAlign w:val="superscript"/>
              </w:rPr>
              <w:t>guidelines</w:t>
            </w:r>
          </w:p>
          <w:p w:rsidR="008C4F69" w:rsidRDefault="00FE29B4">
            <w:pPr>
              <w:pStyle w:val="TableParagraph"/>
              <w:spacing w:before="4"/>
            </w:pPr>
            <w:r>
              <w:rPr>
                <w:color w:val="006FC0"/>
              </w:rPr>
              <w:t>RED</w:t>
            </w:r>
          </w:p>
          <w:p w:rsidR="008C4F69" w:rsidRDefault="008C4F69">
            <w:pPr>
              <w:pStyle w:val="TableParagraph"/>
              <w:spacing w:before="9"/>
              <w:ind w:left="0"/>
              <w:rPr>
                <w:b/>
                <w:sz w:val="21"/>
              </w:rPr>
            </w:pPr>
          </w:p>
          <w:p w:rsidR="008C4F69" w:rsidRDefault="00FE29B4">
            <w:pPr>
              <w:pStyle w:val="TableParagraph"/>
              <w:rPr>
                <w:b/>
              </w:rPr>
            </w:pPr>
            <w:r>
              <w:rPr>
                <w:b/>
              </w:rPr>
              <w:t>Additional comments:</w:t>
            </w:r>
          </w:p>
          <w:p w:rsidR="008C4F69" w:rsidRDefault="00FE29B4" w:rsidP="00FE29B4">
            <w:pPr>
              <w:pStyle w:val="TableParagraph"/>
              <w:spacing w:before="9" w:line="252" w:lineRule="exact"/>
            </w:pPr>
            <w:proofErr w:type="spellStart"/>
            <w:r>
              <w:rPr>
                <w:color w:val="1F487C"/>
              </w:rPr>
              <w:t>Blueteq</w:t>
            </w:r>
            <w:proofErr w:type="spellEnd"/>
            <w:r>
              <w:rPr>
                <w:color w:val="1F487C"/>
              </w:rPr>
              <w:t xml:space="preserve"> form will need to be developed if approved</w:t>
            </w:r>
          </w:p>
        </w:tc>
      </w:tr>
    </w:tbl>
    <w:p w:rsidR="008C4F69" w:rsidRDefault="008C4F69">
      <w:pPr>
        <w:pStyle w:val="BodyText"/>
        <w:rPr>
          <w:b/>
          <w:sz w:val="20"/>
        </w:rPr>
      </w:pPr>
    </w:p>
    <w:p w:rsidR="008C4F69" w:rsidRDefault="008C4F69">
      <w:pPr>
        <w:pStyle w:val="BodyText"/>
        <w:rPr>
          <w:b/>
          <w:sz w:val="20"/>
        </w:rPr>
      </w:pPr>
    </w:p>
    <w:p w:rsidR="008C4F69" w:rsidRDefault="008C4F69">
      <w:pPr>
        <w:pStyle w:val="BodyText"/>
        <w:spacing w:before="10"/>
        <w:rPr>
          <w:b/>
        </w:rPr>
      </w:pPr>
    </w:p>
    <w:p w:rsidR="008C4F69" w:rsidRDefault="00FE29B4">
      <w:pPr>
        <w:pStyle w:val="Heading1"/>
        <w:spacing w:before="94"/>
      </w:pPr>
      <w:r>
        <w:t>References:</w:t>
      </w:r>
    </w:p>
    <w:p w:rsidR="008C4F69" w:rsidRDefault="008C4F69">
      <w:pPr>
        <w:pStyle w:val="BodyText"/>
        <w:spacing w:before="1"/>
        <w:rPr>
          <w:b/>
          <w:sz w:val="24"/>
        </w:rPr>
      </w:pPr>
    </w:p>
    <w:p w:rsidR="008C4F69" w:rsidRDefault="00FE29B4">
      <w:pPr>
        <w:pStyle w:val="BodyText"/>
        <w:spacing w:before="1"/>
        <w:ind w:left="220"/>
      </w:pPr>
      <w:r>
        <w:t xml:space="preserve">1 </w:t>
      </w:r>
      <w:hyperlink r:id="rId12" w:history="1">
        <w:r w:rsidRPr="006C0A82">
          <w:rPr>
            <w:rStyle w:val="Hyperlink"/>
          </w:rPr>
          <w:t>https://www.nice.org.uk/guidance/ta537</w:t>
        </w:r>
      </w:hyperlink>
      <w:r>
        <w:t xml:space="preserve"> </w:t>
      </w:r>
    </w:p>
    <w:p w:rsidR="008C4F69" w:rsidRDefault="008C4F69">
      <w:pPr>
        <w:pStyle w:val="BodyText"/>
        <w:rPr>
          <w:sz w:val="24"/>
        </w:rPr>
      </w:pPr>
    </w:p>
    <w:p w:rsidR="008C4F69" w:rsidRDefault="00FE29B4">
      <w:pPr>
        <w:pStyle w:val="Heading1"/>
        <w:spacing w:before="212"/>
      </w:pPr>
      <w:r>
        <w:t>Prepared by:</w:t>
      </w:r>
    </w:p>
    <w:p w:rsidR="008C4F69" w:rsidRDefault="008C4F69">
      <w:pPr>
        <w:pStyle w:val="BodyText"/>
        <w:spacing w:before="9"/>
        <w:rPr>
          <w:b/>
          <w:sz w:val="20"/>
        </w:rPr>
      </w:pPr>
    </w:p>
    <w:p w:rsidR="008C4F69" w:rsidRDefault="00FE29B4">
      <w:pPr>
        <w:pStyle w:val="BodyText"/>
        <w:ind w:left="220"/>
      </w:pPr>
      <w:r>
        <w:rPr>
          <w:color w:val="006FC0"/>
        </w:rPr>
        <w:t>Linda Honey, Associate Director Medicines Optimisation, NWS CCG</w:t>
      </w:r>
    </w:p>
    <w:p w:rsidR="008C4F69" w:rsidRDefault="008C4F69">
      <w:pPr>
        <w:sectPr w:rsidR="008C4F69">
          <w:pgSz w:w="11910" w:h="16840"/>
          <w:pgMar w:top="900" w:right="1200" w:bottom="280" w:left="1220" w:header="720" w:footer="720" w:gutter="0"/>
          <w:cols w:space="720"/>
        </w:sectPr>
      </w:pPr>
    </w:p>
    <w:p w:rsidR="008C4F69" w:rsidRDefault="00FE29B4">
      <w:pPr>
        <w:pStyle w:val="BodyText"/>
        <w:spacing w:before="71" w:line="465" w:lineRule="auto"/>
        <w:ind w:left="220" w:right="7036"/>
      </w:pPr>
      <w:r>
        <w:rPr>
          <w:u w:val="single"/>
        </w:rPr>
        <w:lastRenderedPageBreak/>
        <w:t>Declaration of Interest:</w:t>
      </w:r>
      <w:r>
        <w:t xml:space="preserve"> </w:t>
      </w:r>
      <w:r>
        <w:rPr>
          <w:color w:val="006FC0"/>
        </w:rPr>
        <w:t>XXXX</w:t>
      </w:r>
    </w:p>
    <w:p w:rsidR="008C4F69" w:rsidRDefault="00FE29B4">
      <w:pPr>
        <w:pStyle w:val="BodyText"/>
        <w:spacing w:before="3"/>
        <w:ind w:left="220"/>
      </w:pPr>
      <w:r>
        <w:t xml:space="preserve">Date: </w:t>
      </w:r>
      <w:r>
        <w:rPr>
          <w:color w:val="006FC0"/>
        </w:rPr>
        <w:t>XXXX</w:t>
      </w:r>
    </w:p>
    <w:p w:rsidR="008C4F69" w:rsidRDefault="008C4F69">
      <w:pPr>
        <w:pStyle w:val="BodyText"/>
        <w:spacing w:before="4"/>
        <w:rPr>
          <w:sz w:val="20"/>
        </w:rPr>
      </w:pPr>
    </w:p>
    <w:p w:rsidR="008C4F69" w:rsidRDefault="00FE29B4">
      <w:pPr>
        <w:pStyle w:val="Heading1"/>
      </w:pPr>
      <w:r>
        <w:t>Reviewed by:</w:t>
      </w:r>
    </w:p>
    <w:p w:rsidR="008C4F69" w:rsidRDefault="008C4F69">
      <w:pPr>
        <w:pStyle w:val="BodyText"/>
        <w:rPr>
          <w:b/>
          <w:sz w:val="21"/>
        </w:rPr>
      </w:pPr>
    </w:p>
    <w:p w:rsidR="008C4F69" w:rsidRDefault="00FE29B4">
      <w:pPr>
        <w:pStyle w:val="BodyText"/>
        <w:spacing w:line="465" w:lineRule="auto"/>
        <w:ind w:left="220" w:right="6009"/>
      </w:pPr>
      <w:r>
        <w:rPr>
          <w:color w:val="006FC0"/>
        </w:rPr>
        <w:t xml:space="preserve">Name, Designation, Organisation </w:t>
      </w:r>
      <w:r>
        <w:rPr>
          <w:u w:val="single"/>
        </w:rPr>
        <w:t>Declaration of Interest:</w:t>
      </w:r>
    </w:p>
    <w:p w:rsidR="008C4F69" w:rsidRDefault="00FE29B4">
      <w:pPr>
        <w:pStyle w:val="BodyText"/>
        <w:ind w:left="220"/>
      </w:pPr>
      <w:r>
        <w:rPr>
          <w:color w:val="006FC0"/>
        </w:rPr>
        <w:t>XXXX</w:t>
      </w:r>
    </w:p>
    <w:p w:rsidR="008C4F69" w:rsidRDefault="008C4F69">
      <w:pPr>
        <w:pStyle w:val="BodyText"/>
        <w:spacing w:before="6"/>
        <w:rPr>
          <w:sz w:val="20"/>
        </w:rPr>
      </w:pPr>
    </w:p>
    <w:p w:rsidR="008C4F69" w:rsidRDefault="00FE29B4">
      <w:pPr>
        <w:pStyle w:val="BodyText"/>
        <w:spacing w:before="1"/>
        <w:ind w:left="220"/>
      </w:pPr>
      <w:r>
        <w:t xml:space="preserve">Date: </w:t>
      </w:r>
      <w:r>
        <w:rPr>
          <w:color w:val="006FC0"/>
        </w:rPr>
        <w:t>XXXX</w:t>
      </w:r>
    </w:p>
    <w:p w:rsidR="008C4F69" w:rsidRDefault="008C4F69">
      <w:pPr>
        <w:pStyle w:val="BodyText"/>
        <w:rPr>
          <w:sz w:val="24"/>
        </w:rPr>
      </w:pPr>
    </w:p>
    <w:p w:rsidR="008C4F69" w:rsidRDefault="008C4F69">
      <w:pPr>
        <w:pStyle w:val="BodyText"/>
        <w:rPr>
          <w:sz w:val="24"/>
        </w:rPr>
      </w:pPr>
    </w:p>
    <w:p w:rsidR="008C4F69" w:rsidRDefault="00FE29B4">
      <w:pPr>
        <w:pStyle w:val="Heading1"/>
        <w:spacing w:before="174"/>
      </w:pPr>
      <w:r>
        <w:t>VERSION CONTROL SHEET</w:t>
      </w:r>
    </w:p>
    <w:p w:rsidR="008C4F69" w:rsidRDefault="008C4F69">
      <w:pPr>
        <w:pStyle w:val="BodyText"/>
        <w:rPr>
          <w:b/>
          <w:sz w:val="20"/>
        </w:rPr>
      </w:pPr>
    </w:p>
    <w:p w:rsidR="008C4F69" w:rsidRDefault="008C4F69">
      <w:pPr>
        <w:pStyle w:val="BodyText"/>
        <w:rPr>
          <w:b/>
          <w:sz w:val="20"/>
        </w:rPr>
      </w:pPr>
    </w:p>
    <w:p w:rsidR="008C4F69" w:rsidRDefault="008C4F69">
      <w:pPr>
        <w:pStyle w:val="BodyText"/>
        <w:rPr>
          <w:b/>
          <w:sz w:val="24"/>
        </w:rPr>
      </w:pPr>
    </w:p>
    <w:tbl>
      <w:tblPr>
        <w:tblW w:w="0" w:type="auto"/>
        <w:tblInd w:w="1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97"/>
        <w:gridCol w:w="1147"/>
        <w:gridCol w:w="2105"/>
        <w:gridCol w:w="1003"/>
        <w:gridCol w:w="3891"/>
      </w:tblGrid>
      <w:tr w:rsidR="008C4F69">
        <w:trPr>
          <w:trHeight w:val="450"/>
        </w:trPr>
        <w:tc>
          <w:tcPr>
            <w:tcW w:w="1097" w:type="dxa"/>
            <w:tcBorders>
              <w:left w:val="single" w:sz="6" w:space="0" w:color="999999"/>
            </w:tcBorders>
            <w:shd w:val="clear" w:color="auto" w:fill="E6E6E6"/>
          </w:tcPr>
          <w:p w:rsidR="008C4F69" w:rsidRDefault="00FE29B4">
            <w:pPr>
              <w:pStyle w:val="TableParagraph"/>
              <w:spacing w:before="74"/>
              <w:ind w:left="141"/>
              <w:rPr>
                <w:b/>
              </w:rPr>
            </w:pPr>
            <w:r>
              <w:rPr>
                <w:b/>
              </w:rPr>
              <w:t>Version</w:t>
            </w:r>
          </w:p>
        </w:tc>
        <w:tc>
          <w:tcPr>
            <w:tcW w:w="1147" w:type="dxa"/>
            <w:shd w:val="clear" w:color="auto" w:fill="E6E6E6"/>
          </w:tcPr>
          <w:p w:rsidR="008C4F69" w:rsidRDefault="00FE29B4">
            <w:pPr>
              <w:pStyle w:val="TableParagraph"/>
              <w:spacing w:before="74"/>
              <w:ind w:left="333"/>
              <w:rPr>
                <w:b/>
              </w:rPr>
            </w:pPr>
            <w:r>
              <w:rPr>
                <w:b/>
              </w:rPr>
              <w:t>Date</w:t>
            </w:r>
          </w:p>
        </w:tc>
        <w:tc>
          <w:tcPr>
            <w:tcW w:w="2105" w:type="dxa"/>
            <w:shd w:val="clear" w:color="auto" w:fill="E6E6E6"/>
          </w:tcPr>
          <w:p w:rsidR="008C4F69" w:rsidRDefault="00FE29B4">
            <w:pPr>
              <w:pStyle w:val="TableParagraph"/>
              <w:spacing w:before="74"/>
              <w:ind w:left="692"/>
              <w:rPr>
                <w:b/>
              </w:rPr>
            </w:pPr>
            <w:r>
              <w:rPr>
                <w:b/>
              </w:rPr>
              <w:t>Author</w:t>
            </w:r>
          </w:p>
        </w:tc>
        <w:tc>
          <w:tcPr>
            <w:tcW w:w="1003" w:type="dxa"/>
            <w:tcBorders>
              <w:right w:val="single" w:sz="6" w:space="0" w:color="999999"/>
            </w:tcBorders>
            <w:shd w:val="clear" w:color="auto" w:fill="E6E6E6"/>
          </w:tcPr>
          <w:p w:rsidR="008C4F69" w:rsidRDefault="00FE29B4">
            <w:pPr>
              <w:pStyle w:val="TableParagraph"/>
              <w:spacing w:before="74"/>
              <w:ind w:left="166"/>
              <w:rPr>
                <w:b/>
              </w:rPr>
            </w:pPr>
            <w:r>
              <w:rPr>
                <w:b/>
              </w:rPr>
              <w:t>Status</w:t>
            </w:r>
          </w:p>
        </w:tc>
        <w:tc>
          <w:tcPr>
            <w:tcW w:w="3891" w:type="dxa"/>
            <w:tcBorders>
              <w:left w:val="single" w:sz="6" w:space="0" w:color="999999"/>
            </w:tcBorders>
            <w:shd w:val="clear" w:color="auto" w:fill="E6E6E6"/>
          </w:tcPr>
          <w:p w:rsidR="008C4F69" w:rsidRDefault="00FE29B4">
            <w:pPr>
              <w:pStyle w:val="TableParagraph"/>
              <w:spacing w:before="74"/>
              <w:ind w:left="1415" w:right="1409"/>
              <w:jc w:val="center"/>
              <w:rPr>
                <w:b/>
              </w:rPr>
            </w:pPr>
            <w:r>
              <w:rPr>
                <w:b/>
              </w:rPr>
              <w:t>Comment</w:t>
            </w:r>
          </w:p>
        </w:tc>
      </w:tr>
      <w:tr w:rsidR="008C4F69">
        <w:trPr>
          <w:trHeight w:val="450"/>
        </w:trPr>
        <w:tc>
          <w:tcPr>
            <w:tcW w:w="1097" w:type="dxa"/>
            <w:tcBorders>
              <w:left w:val="single" w:sz="6" w:space="0" w:color="999999"/>
            </w:tcBorders>
          </w:tcPr>
          <w:p w:rsidR="008C4F69" w:rsidRDefault="00FE29B4">
            <w:pPr>
              <w:pStyle w:val="TableParagraph"/>
              <w:spacing w:before="76"/>
              <w:rPr>
                <w:i/>
              </w:rPr>
            </w:pPr>
            <w:r>
              <w:rPr>
                <w:i/>
                <w:color w:val="006FC0"/>
              </w:rPr>
              <w:t>v.1</w:t>
            </w:r>
          </w:p>
        </w:tc>
        <w:tc>
          <w:tcPr>
            <w:tcW w:w="1147" w:type="dxa"/>
          </w:tcPr>
          <w:p w:rsidR="008C4F69" w:rsidRDefault="008C4F69">
            <w:pPr>
              <w:pStyle w:val="TableParagraph"/>
              <w:ind w:left="0"/>
              <w:rPr>
                <w:rFonts w:ascii="Times New Roman"/>
              </w:rPr>
            </w:pPr>
          </w:p>
        </w:tc>
        <w:tc>
          <w:tcPr>
            <w:tcW w:w="2105" w:type="dxa"/>
          </w:tcPr>
          <w:p w:rsidR="008C4F69" w:rsidRDefault="008C4F69">
            <w:pPr>
              <w:pStyle w:val="TableParagraph"/>
              <w:ind w:left="0"/>
              <w:rPr>
                <w:rFonts w:ascii="Times New Roman"/>
              </w:rPr>
            </w:pPr>
          </w:p>
        </w:tc>
        <w:tc>
          <w:tcPr>
            <w:tcW w:w="1003" w:type="dxa"/>
            <w:tcBorders>
              <w:right w:val="single" w:sz="6" w:space="0" w:color="999999"/>
            </w:tcBorders>
          </w:tcPr>
          <w:p w:rsidR="008C4F69" w:rsidRDefault="008C4F69">
            <w:pPr>
              <w:pStyle w:val="TableParagraph"/>
              <w:ind w:left="0"/>
              <w:rPr>
                <w:rFonts w:ascii="Times New Roman"/>
              </w:rPr>
            </w:pPr>
          </w:p>
        </w:tc>
        <w:tc>
          <w:tcPr>
            <w:tcW w:w="3891" w:type="dxa"/>
            <w:tcBorders>
              <w:left w:val="single" w:sz="6" w:space="0" w:color="999999"/>
            </w:tcBorders>
          </w:tcPr>
          <w:p w:rsidR="008C4F69" w:rsidRDefault="00FE29B4">
            <w:pPr>
              <w:pStyle w:val="TableParagraph"/>
              <w:spacing w:before="76"/>
              <w:ind w:left="106"/>
              <w:rPr>
                <w:i/>
              </w:rPr>
            </w:pPr>
            <w:r>
              <w:rPr>
                <w:i/>
                <w:color w:val="006FC0"/>
              </w:rPr>
              <w:t>Out for consultation</w:t>
            </w:r>
          </w:p>
        </w:tc>
      </w:tr>
      <w:tr w:rsidR="008C4F69">
        <w:trPr>
          <w:trHeight w:val="450"/>
        </w:trPr>
        <w:tc>
          <w:tcPr>
            <w:tcW w:w="1097" w:type="dxa"/>
            <w:tcBorders>
              <w:left w:val="single" w:sz="6" w:space="0" w:color="999999"/>
            </w:tcBorders>
          </w:tcPr>
          <w:p w:rsidR="008C4F69" w:rsidRDefault="00FE29B4">
            <w:pPr>
              <w:pStyle w:val="TableParagraph"/>
              <w:spacing w:before="76"/>
              <w:rPr>
                <w:i/>
              </w:rPr>
            </w:pPr>
            <w:r>
              <w:rPr>
                <w:i/>
                <w:color w:val="006FC0"/>
              </w:rPr>
              <w:t>v.2</w:t>
            </w:r>
          </w:p>
        </w:tc>
        <w:tc>
          <w:tcPr>
            <w:tcW w:w="1147" w:type="dxa"/>
          </w:tcPr>
          <w:p w:rsidR="008C4F69" w:rsidRDefault="008C4F69">
            <w:pPr>
              <w:pStyle w:val="TableParagraph"/>
              <w:ind w:left="0"/>
              <w:rPr>
                <w:rFonts w:ascii="Times New Roman"/>
              </w:rPr>
            </w:pPr>
          </w:p>
        </w:tc>
        <w:tc>
          <w:tcPr>
            <w:tcW w:w="2105" w:type="dxa"/>
          </w:tcPr>
          <w:p w:rsidR="008C4F69" w:rsidRDefault="008C4F69">
            <w:pPr>
              <w:pStyle w:val="TableParagraph"/>
              <w:ind w:left="0"/>
              <w:rPr>
                <w:rFonts w:ascii="Times New Roman"/>
              </w:rPr>
            </w:pPr>
          </w:p>
        </w:tc>
        <w:tc>
          <w:tcPr>
            <w:tcW w:w="1003" w:type="dxa"/>
            <w:tcBorders>
              <w:right w:val="single" w:sz="6" w:space="0" w:color="999999"/>
            </w:tcBorders>
          </w:tcPr>
          <w:p w:rsidR="008C4F69" w:rsidRDefault="008C4F69">
            <w:pPr>
              <w:pStyle w:val="TableParagraph"/>
              <w:ind w:left="0"/>
              <w:rPr>
                <w:rFonts w:ascii="Times New Roman"/>
              </w:rPr>
            </w:pPr>
          </w:p>
        </w:tc>
        <w:tc>
          <w:tcPr>
            <w:tcW w:w="3891" w:type="dxa"/>
            <w:tcBorders>
              <w:left w:val="single" w:sz="6" w:space="0" w:color="999999"/>
            </w:tcBorders>
          </w:tcPr>
          <w:p w:rsidR="008C4F69" w:rsidRDefault="008C4F69">
            <w:pPr>
              <w:pStyle w:val="TableParagraph"/>
              <w:ind w:left="0"/>
              <w:rPr>
                <w:rFonts w:ascii="Times New Roman"/>
              </w:rPr>
            </w:pPr>
          </w:p>
        </w:tc>
      </w:tr>
      <w:tr w:rsidR="008C4F69">
        <w:trPr>
          <w:trHeight w:val="450"/>
        </w:trPr>
        <w:tc>
          <w:tcPr>
            <w:tcW w:w="1097" w:type="dxa"/>
            <w:tcBorders>
              <w:left w:val="single" w:sz="6" w:space="0" w:color="999999"/>
            </w:tcBorders>
          </w:tcPr>
          <w:p w:rsidR="008C4F69" w:rsidRDefault="008C4F69">
            <w:pPr>
              <w:pStyle w:val="TableParagraph"/>
              <w:ind w:left="0"/>
              <w:rPr>
                <w:rFonts w:ascii="Times New Roman"/>
              </w:rPr>
            </w:pPr>
          </w:p>
        </w:tc>
        <w:tc>
          <w:tcPr>
            <w:tcW w:w="1147" w:type="dxa"/>
          </w:tcPr>
          <w:p w:rsidR="008C4F69" w:rsidRDefault="008C4F69">
            <w:pPr>
              <w:pStyle w:val="TableParagraph"/>
              <w:ind w:left="0"/>
              <w:rPr>
                <w:rFonts w:ascii="Times New Roman"/>
              </w:rPr>
            </w:pPr>
          </w:p>
        </w:tc>
        <w:tc>
          <w:tcPr>
            <w:tcW w:w="2105" w:type="dxa"/>
          </w:tcPr>
          <w:p w:rsidR="008C4F69" w:rsidRDefault="008C4F69">
            <w:pPr>
              <w:pStyle w:val="TableParagraph"/>
              <w:ind w:left="0"/>
              <w:rPr>
                <w:rFonts w:ascii="Times New Roman"/>
              </w:rPr>
            </w:pPr>
          </w:p>
        </w:tc>
        <w:tc>
          <w:tcPr>
            <w:tcW w:w="1003" w:type="dxa"/>
            <w:tcBorders>
              <w:right w:val="single" w:sz="6" w:space="0" w:color="999999"/>
            </w:tcBorders>
          </w:tcPr>
          <w:p w:rsidR="008C4F69" w:rsidRDefault="008C4F69">
            <w:pPr>
              <w:pStyle w:val="TableParagraph"/>
              <w:ind w:left="0"/>
              <w:rPr>
                <w:rFonts w:ascii="Times New Roman"/>
              </w:rPr>
            </w:pPr>
          </w:p>
        </w:tc>
        <w:tc>
          <w:tcPr>
            <w:tcW w:w="3891" w:type="dxa"/>
            <w:tcBorders>
              <w:left w:val="single" w:sz="6" w:space="0" w:color="999999"/>
            </w:tcBorders>
          </w:tcPr>
          <w:p w:rsidR="008C4F69" w:rsidRDefault="008C4F69">
            <w:pPr>
              <w:pStyle w:val="TableParagraph"/>
              <w:ind w:left="0"/>
              <w:rPr>
                <w:rFonts w:ascii="Times New Roman"/>
              </w:rPr>
            </w:pPr>
          </w:p>
        </w:tc>
      </w:tr>
      <w:tr w:rsidR="008C4F69">
        <w:trPr>
          <w:trHeight w:val="450"/>
        </w:trPr>
        <w:tc>
          <w:tcPr>
            <w:tcW w:w="1097" w:type="dxa"/>
            <w:tcBorders>
              <w:left w:val="single" w:sz="6" w:space="0" w:color="999999"/>
            </w:tcBorders>
          </w:tcPr>
          <w:p w:rsidR="008C4F69" w:rsidRDefault="008C4F69">
            <w:pPr>
              <w:pStyle w:val="TableParagraph"/>
              <w:ind w:left="0"/>
              <w:rPr>
                <w:rFonts w:ascii="Times New Roman"/>
              </w:rPr>
            </w:pPr>
          </w:p>
        </w:tc>
        <w:tc>
          <w:tcPr>
            <w:tcW w:w="1147" w:type="dxa"/>
          </w:tcPr>
          <w:p w:rsidR="008C4F69" w:rsidRDefault="008C4F69">
            <w:pPr>
              <w:pStyle w:val="TableParagraph"/>
              <w:ind w:left="0"/>
              <w:rPr>
                <w:rFonts w:ascii="Times New Roman"/>
              </w:rPr>
            </w:pPr>
          </w:p>
        </w:tc>
        <w:tc>
          <w:tcPr>
            <w:tcW w:w="2105" w:type="dxa"/>
          </w:tcPr>
          <w:p w:rsidR="008C4F69" w:rsidRDefault="008C4F69">
            <w:pPr>
              <w:pStyle w:val="TableParagraph"/>
              <w:ind w:left="0"/>
              <w:rPr>
                <w:rFonts w:ascii="Times New Roman"/>
              </w:rPr>
            </w:pPr>
          </w:p>
        </w:tc>
        <w:tc>
          <w:tcPr>
            <w:tcW w:w="1003" w:type="dxa"/>
            <w:tcBorders>
              <w:right w:val="single" w:sz="6" w:space="0" w:color="999999"/>
            </w:tcBorders>
          </w:tcPr>
          <w:p w:rsidR="008C4F69" w:rsidRDefault="008C4F69">
            <w:pPr>
              <w:pStyle w:val="TableParagraph"/>
              <w:ind w:left="0"/>
              <w:rPr>
                <w:rFonts w:ascii="Times New Roman"/>
              </w:rPr>
            </w:pPr>
          </w:p>
        </w:tc>
        <w:tc>
          <w:tcPr>
            <w:tcW w:w="3891" w:type="dxa"/>
            <w:tcBorders>
              <w:left w:val="single" w:sz="6" w:space="0" w:color="999999"/>
            </w:tcBorders>
          </w:tcPr>
          <w:p w:rsidR="008C4F69" w:rsidRDefault="008C4F69">
            <w:pPr>
              <w:pStyle w:val="TableParagraph"/>
              <w:ind w:left="0"/>
              <w:rPr>
                <w:rFonts w:ascii="Times New Roman"/>
              </w:rPr>
            </w:pPr>
          </w:p>
        </w:tc>
      </w:tr>
    </w:tbl>
    <w:p w:rsidR="00000000" w:rsidRDefault="00FE29B4"/>
    <w:sectPr w:rsidR="00000000">
      <w:pgSz w:w="11910" w:h="16840"/>
      <w:pgMar w:top="8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87EE7"/>
    <w:multiLevelType w:val="multilevel"/>
    <w:tmpl w:val="565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69"/>
    <w:rsid w:val="007B170D"/>
    <w:rsid w:val="008C4F69"/>
    <w:rsid w:val="00FE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B170D"/>
    <w:rPr>
      <w:rFonts w:ascii="Tahoma" w:hAnsi="Tahoma" w:cs="Tahoma"/>
      <w:sz w:val="16"/>
      <w:szCs w:val="16"/>
    </w:rPr>
  </w:style>
  <w:style w:type="character" w:customStyle="1" w:styleId="BalloonTextChar">
    <w:name w:val="Balloon Text Char"/>
    <w:basedOn w:val="DefaultParagraphFont"/>
    <w:link w:val="BalloonText"/>
    <w:uiPriority w:val="99"/>
    <w:semiHidden/>
    <w:rsid w:val="007B170D"/>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7B170D"/>
    <w:rPr>
      <w:color w:val="005EA5"/>
      <w:u w:val="single"/>
    </w:rPr>
  </w:style>
  <w:style w:type="paragraph" w:styleId="NormalWeb">
    <w:name w:val="Normal (Web)"/>
    <w:basedOn w:val="Normal"/>
    <w:uiPriority w:val="99"/>
    <w:semiHidden/>
    <w:unhideWhenUsed/>
    <w:rsid w:val="007B170D"/>
    <w:pPr>
      <w:widowControl/>
      <w:autoSpaceDE/>
      <w:autoSpaceDN/>
      <w:spacing w:after="180"/>
    </w:pPr>
    <w:rPr>
      <w:rFonts w:ascii="Times New Roman" w:eastAsia="Times New Roman" w:hAnsi="Times New Roman" w:cs="Times New Roman"/>
      <w:sz w:val="24"/>
      <w:szCs w:val="24"/>
      <w:lang w:bidi="ar-SA"/>
    </w:rPr>
  </w:style>
  <w:style w:type="paragraph" w:customStyle="1" w:styleId="numbered-paragraph">
    <w:name w:val="numbered-paragraph"/>
    <w:basedOn w:val="Normal"/>
    <w:rsid w:val="007B170D"/>
    <w:pPr>
      <w:widowControl/>
      <w:autoSpaceDE/>
      <w:autoSpaceDN/>
      <w:spacing w:after="180"/>
    </w:pPr>
    <w:rPr>
      <w:rFonts w:ascii="Times New Roman" w:eastAsia="Times New Roman" w:hAnsi="Times New Roman" w:cs="Times New Roman"/>
      <w:sz w:val="24"/>
      <w:szCs w:val="24"/>
      <w:lang w:bidi="ar-SA"/>
    </w:rPr>
  </w:style>
  <w:style w:type="character" w:customStyle="1" w:styleId="paragraph-number">
    <w:name w:val="paragraph-number"/>
    <w:basedOn w:val="DefaultParagraphFont"/>
    <w:rsid w:val="007B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B170D"/>
    <w:rPr>
      <w:rFonts w:ascii="Tahoma" w:hAnsi="Tahoma" w:cs="Tahoma"/>
      <w:sz w:val="16"/>
      <w:szCs w:val="16"/>
    </w:rPr>
  </w:style>
  <w:style w:type="character" w:customStyle="1" w:styleId="BalloonTextChar">
    <w:name w:val="Balloon Text Char"/>
    <w:basedOn w:val="DefaultParagraphFont"/>
    <w:link w:val="BalloonText"/>
    <w:uiPriority w:val="99"/>
    <w:semiHidden/>
    <w:rsid w:val="007B170D"/>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7B170D"/>
    <w:rPr>
      <w:color w:val="005EA5"/>
      <w:u w:val="single"/>
    </w:rPr>
  </w:style>
  <w:style w:type="paragraph" w:styleId="NormalWeb">
    <w:name w:val="Normal (Web)"/>
    <w:basedOn w:val="Normal"/>
    <w:uiPriority w:val="99"/>
    <w:semiHidden/>
    <w:unhideWhenUsed/>
    <w:rsid w:val="007B170D"/>
    <w:pPr>
      <w:widowControl/>
      <w:autoSpaceDE/>
      <w:autoSpaceDN/>
      <w:spacing w:after="180"/>
    </w:pPr>
    <w:rPr>
      <w:rFonts w:ascii="Times New Roman" w:eastAsia="Times New Roman" w:hAnsi="Times New Roman" w:cs="Times New Roman"/>
      <w:sz w:val="24"/>
      <w:szCs w:val="24"/>
      <w:lang w:bidi="ar-SA"/>
    </w:rPr>
  </w:style>
  <w:style w:type="paragraph" w:customStyle="1" w:styleId="numbered-paragraph">
    <w:name w:val="numbered-paragraph"/>
    <w:basedOn w:val="Normal"/>
    <w:rsid w:val="007B170D"/>
    <w:pPr>
      <w:widowControl/>
      <w:autoSpaceDE/>
      <w:autoSpaceDN/>
      <w:spacing w:after="180"/>
    </w:pPr>
    <w:rPr>
      <w:rFonts w:ascii="Times New Roman" w:eastAsia="Times New Roman" w:hAnsi="Times New Roman" w:cs="Times New Roman"/>
      <w:sz w:val="24"/>
      <w:szCs w:val="24"/>
      <w:lang w:bidi="ar-SA"/>
    </w:rPr>
  </w:style>
  <w:style w:type="character" w:customStyle="1" w:styleId="paragraph-number">
    <w:name w:val="paragraph-number"/>
    <w:basedOn w:val="DefaultParagraphFont"/>
    <w:rsid w:val="007B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7552">
      <w:bodyDiv w:val="1"/>
      <w:marLeft w:val="0"/>
      <w:marRight w:val="0"/>
      <w:marTop w:val="0"/>
      <w:marBottom w:val="0"/>
      <w:divBdr>
        <w:top w:val="none" w:sz="0" w:space="0" w:color="auto"/>
        <w:left w:val="none" w:sz="0" w:space="0" w:color="auto"/>
        <w:bottom w:val="none" w:sz="0" w:space="0" w:color="auto"/>
        <w:right w:val="none" w:sz="0" w:space="0" w:color="auto"/>
      </w:divBdr>
      <w:divsChild>
        <w:div w:id="1419597012">
          <w:marLeft w:val="0"/>
          <w:marRight w:val="0"/>
          <w:marTop w:val="0"/>
          <w:marBottom w:val="0"/>
          <w:divBdr>
            <w:top w:val="none" w:sz="0" w:space="0" w:color="auto"/>
            <w:left w:val="none" w:sz="0" w:space="0" w:color="auto"/>
            <w:bottom w:val="none" w:sz="0" w:space="0" w:color="auto"/>
            <w:right w:val="none" w:sz="0" w:space="0" w:color="auto"/>
          </w:divBdr>
          <w:divsChild>
            <w:div w:id="1105348345">
              <w:marLeft w:val="0"/>
              <w:marRight w:val="0"/>
              <w:marTop w:val="0"/>
              <w:marBottom w:val="0"/>
              <w:divBdr>
                <w:top w:val="none" w:sz="0" w:space="0" w:color="auto"/>
                <w:left w:val="none" w:sz="0" w:space="0" w:color="auto"/>
                <w:bottom w:val="none" w:sz="0" w:space="0" w:color="auto"/>
                <w:right w:val="none" w:sz="0" w:space="0" w:color="auto"/>
              </w:divBdr>
              <w:divsChild>
                <w:div w:id="1272787726">
                  <w:marLeft w:val="0"/>
                  <w:marRight w:val="0"/>
                  <w:marTop w:val="0"/>
                  <w:marBottom w:val="0"/>
                  <w:divBdr>
                    <w:top w:val="none" w:sz="0" w:space="0" w:color="auto"/>
                    <w:left w:val="none" w:sz="0" w:space="0" w:color="auto"/>
                    <w:bottom w:val="none" w:sz="0" w:space="0" w:color="auto"/>
                    <w:right w:val="none" w:sz="0" w:space="0" w:color="auto"/>
                  </w:divBdr>
                  <w:divsChild>
                    <w:div w:id="1974872823">
                      <w:marLeft w:val="0"/>
                      <w:marRight w:val="0"/>
                      <w:marTop w:val="0"/>
                      <w:marBottom w:val="0"/>
                      <w:divBdr>
                        <w:top w:val="none" w:sz="0" w:space="0" w:color="auto"/>
                        <w:left w:val="none" w:sz="0" w:space="0" w:color="auto"/>
                        <w:bottom w:val="none" w:sz="0" w:space="0" w:color="auto"/>
                        <w:right w:val="none" w:sz="0" w:space="0" w:color="auto"/>
                      </w:divBdr>
                      <w:divsChild>
                        <w:div w:id="1843548652">
                          <w:marLeft w:val="0"/>
                          <w:marRight w:val="0"/>
                          <w:marTop w:val="0"/>
                          <w:marBottom w:val="0"/>
                          <w:divBdr>
                            <w:top w:val="none" w:sz="0" w:space="0" w:color="auto"/>
                            <w:left w:val="none" w:sz="0" w:space="0" w:color="auto"/>
                            <w:bottom w:val="none" w:sz="0" w:space="0" w:color="auto"/>
                            <w:right w:val="none" w:sz="0" w:space="0" w:color="auto"/>
                          </w:divBdr>
                          <w:divsChild>
                            <w:div w:id="62067753">
                              <w:marLeft w:val="0"/>
                              <w:marRight w:val="0"/>
                              <w:marTop w:val="0"/>
                              <w:marBottom w:val="0"/>
                              <w:divBdr>
                                <w:top w:val="none" w:sz="0" w:space="0" w:color="auto"/>
                                <w:left w:val="none" w:sz="0" w:space="0" w:color="auto"/>
                                <w:bottom w:val="none" w:sz="0" w:space="0" w:color="auto"/>
                                <w:right w:val="none" w:sz="0" w:space="0" w:color="auto"/>
                              </w:divBdr>
                              <w:divsChild>
                                <w:div w:id="408962887">
                                  <w:marLeft w:val="360"/>
                                  <w:marRight w:val="360"/>
                                  <w:marTop w:val="0"/>
                                  <w:marBottom w:val="0"/>
                                  <w:divBdr>
                                    <w:top w:val="none" w:sz="0" w:space="0" w:color="auto"/>
                                    <w:left w:val="none" w:sz="0" w:space="0" w:color="auto"/>
                                    <w:bottom w:val="none" w:sz="0" w:space="0" w:color="auto"/>
                                    <w:right w:val="none" w:sz="0" w:space="0" w:color="auto"/>
                                  </w:divBdr>
                                  <w:divsChild>
                                    <w:div w:id="874007318">
                                      <w:marLeft w:val="0"/>
                                      <w:marRight w:val="0"/>
                                      <w:marTop w:val="0"/>
                                      <w:marBottom w:val="0"/>
                                      <w:divBdr>
                                        <w:top w:val="none" w:sz="0" w:space="0" w:color="auto"/>
                                        <w:left w:val="none" w:sz="0" w:space="0" w:color="auto"/>
                                        <w:bottom w:val="none" w:sz="0" w:space="0" w:color="auto"/>
                                        <w:right w:val="none" w:sz="0" w:space="0" w:color="auto"/>
                                      </w:divBdr>
                                      <w:divsChild>
                                        <w:div w:id="927620421">
                                          <w:marLeft w:val="0"/>
                                          <w:marRight w:val="0"/>
                                          <w:marTop w:val="0"/>
                                          <w:marBottom w:val="300"/>
                                          <w:divBdr>
                                            <w:top w:val="none" w:sz="0" w:space="0" w:color="auto"/>
                                            <w:left w:val="none" w:sz="0" w:space="0" w:color="auto"/>
                                            <w:bottom w:val="none" w:sz="0" w:space="0" w:color="auto"/>
                                            <w:right w:val="none" w:sz="0" w:space="0" w:color="auto"/>
                                          </w:divBdr>
                                          <w:divsChild>
                                            <w:div w:id="287973239">
                                              <w:marLeft w:val="0"/>
                                              <w:marRight w:val="0"/>
                                              <w:marTop w:val="0"/>
                                              <w:marBottom w:val="0"/>
                                              <w:divBdr>
                                                <w:top w:val="none" w:sz="0" w:space="0" w:color="auto"/>
                                                <w:left w:val="none" w:sz="0" w:space="0" w:color="auto"/>
                                                <w:bottom w:val="none" w:sz="0" w:space="0" w:color="auto"/>
                                                <w:right w:val="none" w:sz="0" w:space="0" w:color="auto"/>
                                              </w:divBdr>
                                              <w:divsChild>
                                                <w:div w:id="2134520929">
                                                  <w:marLeft w:val="0"/>
                                                  <w:marRight w:val="0"/>
                                                  <w:marTop w:val="0"/>
                                                  <w:marBottom w:val="0"/>
                                                  <w:divBdr>
                                                    <w:top w:val="none" w:sz="0" w:space="0" w:color="auto"/>
                                                    <w:left w:val="none" w:sz="0" w:space="0" w:color="auto"/>
                                                    <w:bottom w:val="none" w:sz="0" w:space="0" w:color="auto"/>
                                                    <w:right w:val="none" w:sz="0" w:space="0" w:color="auto"/>
                                                  </w:divBdr>
                                                  <w:divsChild>
                                                    <w:div w:id="2132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ta19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ce.org.uk/guidance/ta199" TargetMode="External"/><Relationship Id="rId12" Type="http://schemas.openxmlformats.org/officeDocument/2006/relationships/hyperlink" Target="https://www.nice.org.uk/guidance/ta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ice.org.uk/guidance/ta199" TargetMode="External"/><Relationship Id="rId4" Type="http://schemas.openxmlformats.org/officeDocument/2006/relationships/settings" Target="settings.xml"/><Relationship Id="rId9" Type="http://schemas.openxmlformats.org/officeDocument/2006/relationships/hyperlink" Target="http://www.nice.org.uk/guidance/ta5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Clare</dc:creator>
  <cp:lastModifiedBy>Honey Linda (North West Surrey CCG)</cp:lastModifiedBy>
  <cp:revision>2</cp:revision>
  <dcterms:created xsi:type="dcterms:W3CDTF">2018-11-02T10:40:00Z</dcterms:created>
  <dcterms:modified xsi:type="dcterms:W3CDTF">2018-11-02T10:40:00Z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2010</vt:lpwstr>
  </property>
  <property fmtid="{D5CDD505-2E9C-101B-9397-08002B2CF9AE}" pid="4" name="LastSaved">
    <vt:filetime>2018-11-02T00:00:00Z</vt:filetime>
  </property>
</Properties>
</file>